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7E0C" w14:textId="77777777" w:rsidR="00EA4229" w:rsidRDefault="00E54260" w:rsidP="00E54260">
      <w:pPr>
        <w:pStyle w:val="Title"/>
        <w:jc w:val="center"/>
      </w:pPr>
      <w:bookmarkStart w:id="0" w:name="_Hlk77602690"/>
      <w:bookmarkStart w:id="1" w:name="_GoBack"/>
      <w:bookmarkEnd w:id="1"/>
      <w:r>
        <w:t>Tennessee Tech University</w:t>
      </w:r>
    </w:p>
    <w:p w14:paraId="0B1B818E" w14:textId="77777777" w:rsidR="00E54260" w:rsidRDefault="00E54260" w:rsidP="00E54260">
      <w:pPr>
        <w:pStyle w:val="Title"/>
        <w:jc w:val="center"/>
      </w:pPr>
      <w:r>
        <w:t>Name of Department</w:t>
      </w:r>
    </w:p>
    <w:p w14:paraId="3945ED58" w14:textId="77777777" w:rsidR="00E54260" w:rsidRDefault="00E54260" w:rsidP="00E54260">
      <w:pPr>
        <w:pStyle w:val="Title"/>
        <w:jc w:val="center"/>
      </w:pPr>
      <w: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7777777" w:rsidR="00E54260" w:rsidRDefault="00E54260" w:rsidP="004347F2">
      <w:bookmarkStart w:id="2" w:name="_Hlk77663034"/>
      <w:r>
        <w:t xml:space="preserve">[Provide multiple ways to contact you and a timeframe for expected responses. Include your preferred method of contact – office hours, drop-in visits, email, phone, etc.] </w:t>
      </w:r>
    </w:p>
    <w:p w14:paraId="6A02F53F" w14:textId="64C8DA7B" w:rsidR="00E54260" w:rsidRDefault="00E54260" w:rsidP="00E54260">
      <w:r>
        <w:t>Instructor’s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2"/>
    <w:p w14:paraId="3E8D59E8" w14:textId="77777777" w:rsidR="00E54260" w:rsidRDefault="00E54260" w:rsidP="00E54260">
      <w:pPr>
        <w:pStyle w:val="Heading1"/>
      </w:pPr>
      <w:r>
        <w:t xml:space="preserve">Course Information </w:t>
      </w:r>
    </w:p>
    <w:p w14:paraId="4FBEDD2A" w14:textId="5B617A55" w:rsidR="00E54260" w:rsidRDefault="00E54260">
      <w:bookmarkStart w:id="3"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2FFF769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3"/>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4" w:name="_Hlk77602975"/>
    </w:p>
    <w:p w14:paraId="3F5D0904" w14:textId="0998FE9C" w:rsidR="00E54260" w:rsidRDefault="00B5347F">
      <w:r>
        <w:t>[</w:t>
      </w:r>
      <w:bookmarkStart w:id="5" w:name="_Hlk77663107"/>
      <w:r>
        <w:t>Include method of delivery—online, hybrid, on-ground</w:t>
      </w:r>
      <w:bookmarkEnd w:id="5"/>
      <w:r>
        <w:t>]</w:t>
      </w:r>
      <w:r w:rsidR="00E54260">
        <w:t xml:space="preserve"> </w:t>
      </w:r>
    </w:p>
    <w:bookmarkEnd w:id="4"/>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77777777" w:rsidR="00E54260" w:rsidRDefault="00E914C7" w:rsidP="00E54260">
      <w:r>
        <w:t xml:space="preserve">NOTE: If you need two columns, type your content and then select the content to divide into columns and choose the layout tab above – columns—two. Do not tab over or use spaces, the additional information will be ignored by screen readers. </w:t>
      </w:r>
    </w:p>
    <w:p w14:paraId="7BB8A15C" w14:textId="77777777" w:rsidR="00E914C7" w:rsidRDefault="00E914C7" w:rsidP="00E914C7">
      <w:pPr>
        <w:pStyle w:val="Heading1"/>
      </w:pPr>
      <w:r>
        <w:t xml:space="preserve">Course Schedule </w:t>
      </w:r>
    </w:p>
    <w:p w14:paraId="751342BA" w14:textId="29CD2794" w:rsidR="00E914C7" w:rsidRDefault="00E914C7" w:rsidP="00E914C7">
      <w:bookmarkStart w:id="6" w:name="_Hlk77663567"/>
      <w:r>
        <w:t xml:space="preserve">[Provide due dates for all assignments and assessments that are specified and reinforced on the course calendar and instructions for submitting assignments on Tennessee Tech’s Learning Management System </w:t>
      </w:r>
      <w:r w:rsidR="00F94AFE">
        <w:t>(</w:t>
      </w:r>
      <w:r w:rsidR="004347F2">
        <w:t>iLearn</w:t>
      </w:r>
      <w:r w:rsidR="00F94AFE">
        <w:t>)</w:t>
      </w:r>
      <w:r>
        <w:t>.]</w:t>
      </w:r>
    </w:p>
    <w:bookmarkEnd w:id="6"/>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77777777" w:rsidR="00E914C7" w:rsidRPr="001561A4" w:rsidRDefault="00E914C7" w:rsidP="008F2FE1">
            <w:r w:rsidRPr="001561A4">
              <w:t>letter grade</w:t>
            </w:r>
          </w:p>
        </w:tc>
        <w:tc>
          <w:tcPr>
            <w:tcW w:w="1606" w:type="dxa"/>
            <w:shd w:val="clear" w:color="auto" w:fill="D9D9D9" w:themeFill="background1" w:themeFillShade="D9"/>
          </w:tcPr>
          <w:p w14:paraId="623D12F5" w14:textId="77777777" w:rsidR="00E914C7" w:rsidRPr="001561A4" w:rsidRDefault="00E914C7" w:rsidP="008F2FE1">
            <w:r w:rsidRPr="001561A4">
              <w:t>grade range</w:t>
            </w:r>
          </w:p>
        </w:tc>
      </w:tr>
      <w:tr w:rsidR="00E914C7" w:rsidRPr="001561A4" w14:paraId="06C26F43" w14:textId="77777777" w:rsidTr="00F94AFE">
        <w:trPr>
          <w:trHeight w:val="240"/>
          <w:tblHeader/>
        </w:trPr>
        <w:tc>
          <w:tcPr>
            <w:tcW w:w="1605" w:type="dxa"/>
          </w:tcPr>
          <w:p w14:paraId="01329AF6" w14:textId="77777777" w:rsidR="00E914C7" w:rsidRPr="001561A4" w:rsidRDefault="00E914C7" w:rsidP="008F2FE1">
            <w:r w:rsidRPr="001561A4">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77777777" w:rsidR="00E914C7" w:rsidRPr="001561A4" w:rsidRDefault="00E914C7" w:rsidP="008F2FE1">
            <w:r w:rsidRPr="001561A4">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77777777" w:rsidR="00E914C7" w:rsidRPr="001561A4" w:rsidRDefault="00E914C7" w:rsidP="008F2FE1">
            <w:r w:rsidRPr="001561A4">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77777777" w:rsidR="00E914C7" w:rsidRPr="001561A4" w:rsidRDefault="00E914C7" w:rsidP="008F2FE1">
            <w:r w:rsidRPr="001561A4">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77777777" w:rsidR="00E914C7" w:rsidRPr="001561A4" w:rsidRDefault="00E914C7" w:rsidP="008F2FE1">
            <w:r w:rsidRPr="001561A4">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7" w:name="_Hlk77663682"/>
      <w:r>
        <w:t xml:space="preserve">Student Academic Misconduct Policy  </w:t>
      </w:r>
    </w:p>
    <w:p w14:paraId="3AB441B3" w14:textId="502E24DC" w:rsidR="00E914C7" w:rsidRPr="00E914C7" w:rsidRDefault="00E914C7" w:rsidP="00E914C7">
      <w:r>
        <w:t>M</w:t>
      </w:r>
      <w:r w:rsidRPr="001561A4">
        <w:t xml:space="preserve">aintaining high standards of academic integrity in every class at </w:t>
      </w:r>
      <w:r>
        <w:t>Tennessee</w:t>
      </w:r>
      <w:r w:rsidRPr="001561A4">
        <w:t xml:space="preserve"> </w:t>
      </w:r>
      <w:r>
        <w:t>T</w:t>
      </w:r>
      <w:r w:rsidRPr="001561A4">
        <w:t xml:space="preserve">ech is critical to the reputation of </w:t>
      </w:r>
      <w:r>
        <w:t>Tennessee</w:t>
      </w:r>
      <w:r w:rsidRPr="001561A4">
        <w:t xml:space="preserve"> </w:t>
      </w:r>
      <w:r>
        <w:t>T</w:t>
      </w:r>
      <w:r w:rsidRPr="001561A4">
        <w:t xml:space="preserve">ech, its students, alumni, and the employers of </w:t>
      </w:r>
      <w:r>
        <w:t>Tennessee</w:t>
      </w:r>
      <w:r w:rsidRPr="001561A4">
        <w:t xml:space="preserve"> </w:t>
      </w:r>
      <w:r>
        <w:t>T</w:t>
      </w:r>
      <w:r w:rsidRPr="001561A4">
        <w:t xml:space="preserve">ech graduates. </w:t>
      </w:r>
      <w:r>
        <w:t>T</w:t>
      </w:r>
      <w:r w:rsidRPr="001561A4">
        <w:t xml:space="preserve">he student academic misconduct policy describes the definitions of academic misconduct and policies and procedures for addressing academic misconduct at </w:t>
      </w:r>
      <w:r>
        <w:t>Tennessee</w:t>
      </w:r>
      <w:r w:rsidRPr="001561A4">
        <w:t xml:space="preserve"> </w:t>
      </w:r>
      <w:r>
        <w:t>T</w:t>
      </w:r>
      <w:r w:rsidRPr="001561A4">
        <w:t xml:space="preserve">ech.  </w:t>
      </w:r>
      <w:r>
        <w:t>F</w:t>
      </w:r>
      <w:r w:rsidRPr="001561A4">
        <w:t xml:space="preserve">or details, view </w:t>
      </w:r>
      <w:r>
        <w:t>T</w:t>
      </w:r>
      <w:r w:rsidRPr="001561A4">
        <w:t xml:space="preserve">ennessee </w:t>
      </w:r>
      <w:r>
        <w:t>T</w:t>
      </w:r>
      <w:r w:rsidRPr="001561A4">
        <w:t xml:space="preserve">ech’s policy 217 – </w:t>
      </w:r>
      <w:hyperlink r:id="rId11" w:history="1">
        <w:r w:rsidRPr="00E914C7">
          <w:rPr>
            <w:rStyle w:val="Hyperlink"/>
          </w:rPr>
          <w:t>student academic misconduct at policy central</w:t>
        </w:r>
      </w:hyperlink>
      <w:r w:rsidRPr="001561A4">
        <w:t>.</w:t>
      </w:r>
    </w:p>
    <w:p w14:paraId="30494115" w14:textId="77777777" w:rsidR="00E914C7" w:rsidRDefault="00E914C7" w:rsidP="00E914C7">
      <w:pPr>
        <w:pStyle w:val="Heading2"/>
      </w:pPr>
      <w:bookmarkStart w:id="8" w:name="_Hlk77663691"/>
      <w:bookmarkEnd w:id="7"/>
      <w:r>
        <w:t xml:space="preserve">Attendance Policy </w:t>
      </w:r>
    </w:p>
    <w:p w14:paraId="05529282" w14:textId="77777777" w:rsidR="00E914C7" w:rsidRDefault="00E914C7" w:rsidP="00E914C7">
      <w:r>
        <w:t>[Provide any additional information regarding your course attendance policy or attendance expectations.]</w:t>
      </w:r>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8"/>
    <w:p w14:paraId="5B4A5EFA" w14:textId="77777777" w:rsidR="00E914C7" w:rsidRDefault="00E914C7" w:rsidP="00E914C7">
      <w:pPr>
        <w:pStyle w:val="Heading2"/>
      </w:pPr>
      <w:r>
        <w:lastRenderedPageBreak/>
        <w:t xml:space="preserve">Assignments and Related Policy </w:t>
      </w:r>
    </w:p>
    <w:p w14:paraId="4F2A7097" w14:textId="77777777" w:rsidR="00E914C7" w:rsidRDefault="00E914C7" w:rsidP="00E914C7">
      <w:bookmarkStart w:id="9" w:name="_Hlk77663724"/>
      <w:r>
        <w:t>[Include information about late submissions and important details about the assignments. If it is timed, grade weighting, submission location, etc.]</w:t>
      </w:r>
    </w:p>
    <w:bookmarkEnd w:id="9"/>
    <w:p w14:paraId="2A2E2D8B" w14:textId="1548F32D" w:rsidR="00E914C7" w:rsidRDefault="00E914C7" w:rsidP="002B5A05">
      <w:pPr>
        <w:pStyle w:val="Heading1"/>
      </w:pPr>
      <w:r>
        <w:t xml:space="preserve">Disability Accommodation </w:t>
      </w:r>
    </w:p>
    <w:p w14:paraId="4895FB6C" w14:textId="48D0DDF5"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is located in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 xml:space="preserve">ech’s policy 340 – </w:t>
      </w:r>
      <w:hyperlink r:id="rId12"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3"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4E499246" w:rsidR="005842B2" w:rsidRDefault="005842B2" w:rsidP="005842B2">
      <w:r>
        <w:t xml:space="preserve">If you are having trouble with one of the instructional technologies </w:t>
      </w:r>
      <w:r w:rsidR="000731F6">
        <w:t>(</w:t>
      </w:r>
      <w:r>
        <w:t xml:space="preserve">i.e. Zoom, Teams, Qualtrics, Respondus, or any technology listed </w:t>
      </w:r>
      <w:hyperlink r:id="rId14" w:history="1">
        <w:r w:rsidRPr="005842B2">
          <w:rPr>
            <w:rStyle w:val="Hyperlink"/>
          </w:rPr>
          <w:t>here</w:t>
        </w:r>
      </w:hyperlink>
      <w:r w:rsidR="000731F6">
        <w:t>)</w:t>
      </w:r>
      <w:r>
        <w:t xml:space="preserve">visit the </w:t>
      </w:r>
      <w:hyperlink r:id="rId15"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346AF469" w:rsidR="007D6806" w:rsidRDefault="007D6806" w:rsidP="005842B2">
      <w:r>
        <w:t xml:space="preserve">For accessibility information and statements for our instructional technologies, visit the </w:t>
      </w:r>
      <w:hyperlink r:id="rId16" w:history="1">
        <w:r w:rsidRPr="007D6806">
          <w:rPr>
            <w:rStyle w:val="Hyperlink"/>
          </w:rPr>
          <w:t>CITL’s Learner Success Resource page</w:t>
        </w:r>
      </w:hyperlink>
      <w:r>
        <w:t xml:space="preserve">. </w:t>
      </w:r>
    </w:p>
    <w:p w14:paraId="0E3A4717" w14:textId="77777777" w:rsidR="007D6806" w:rsidRDefault="007D6806" w:rsidP="007D6806">
      <w:pPr>
        <w:pStyle w:val="Heading2"/>
      </w:pPr>
      <w:r>
        <w:t xml:space="preserve">Tutoring </w:t>
      </w:r>
    </w:p>
    <w:p w14:paraId="6CC5EAAF" w14:textId="07A85293" w:rsidR="007D6806" w:rsidRPr="001561A4" w:rsidRDefault="007D6806" w:rsidP="007D6806">
      <w:r>
        <w:t>T</w:t>
      </w:r>
      <w:r w:rsidRPr="001561A4">
        <w:t xml:space="preserve">he university provides free tutoring to all </w:t>
      </w:r>
      <w:r>
        <w:t>Tennessee</w:t>
      </w:r>
      <w:r w:rsidRPr="001561A4">
        <w:t xml:space="preserve"> </w:t>
      </w:r>
      <w:r>
        <w:t>T</w:t>
      </w:r>
      <w:r w:rsidRPr="001561A4">
        <w:t xml:space="preserve">ech students. tutoring is available for any class or subject as well as writing, test prep, study skills, resumes. </w:t>
      </w:r>
      <w:r>
        <w:t>A</w:t>
      </w:r>
      <w:r w:rsidRPr="001561A4">
        <w:t xml:space="preserve">ppointments are scheduled. </w:t>
      </w:r>
      <w:r>
        <w:t>P</w:t>
      </w:r>
      <w:r w:rsidRPr="001561A4">
        <w:t xml:space="preserve">lease see the </w:t>
      </w:r>
      <w:hyperlink r:id="rId17"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0B337C88"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18"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t xml:space="preserve">Health Services </w:t>
      </w:r>
    </w:p>
    <w:p w14:paraId="70C351C2" w14:textId="2D9E6E7D"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19" w:history="1">
        <w:r w:rsidR="00C948C1" w:rsidRPr="00C948C1">
          <w:rPr>
            <w:rStyle w:val="Hyperlink"/>
          </w:rPr>
          <w:t>Health Services</w:t>
        </w:r>
      </w:hyperlink>
      <w:r w:rsidR="00C948C1">
        <w:t xml:space="preserve"> website to learn more. </w:t>
      </w:r>
    </w:p>
    <w:p w14:paraId="54B4D57F" w14:textId="77777777" w:rsidR="00D646DC" w:rsidRPr="00D646DC" w:rsidRDefault="00D646DC" w:rsidP="00D646DC">
      <w:pPr>
        <w:pStyle w:val="Heading3"/>
        <w:rPr>
          <w:rFonts w:cs="Times New Roman"/>
          <w:color w:val="201F1E"/>
        </w:rPr>
      </w:pPr>
      <w:r w:rsidRPr="00D646DC">
        <w:rPr>
          <w:rFonts w:cs="Times New Roman"/>
        </w:rPr>
        <w:t>COVID-19 University Protocols</w:t>
      </w:r>
    </w:p>
    <w:p w14:paraId="386F4034" w14:textId="77777777" w:rsidR="00D646DC" w:rsidRPr="00D646DC" w:rsidRDefault="00D646DC" w:rsidP="00D646DC">
      <w:pPr>
        <w:pStyle w:val="xxxmsonormal"/>
        <w:numPr>
          <w:ilvl w:val="0"/>
          <w:numId w:val="1"/>
        </w:numPr>
        <w:shd w:val="clear" w:color="auto" w:fill="FFFFFF"/>
        <w:spacing w:before="0" w:beforeAutospacing="0" w:after="0" w:afterAutospacing="0"/>
        <w:rPr>
          <w:rFonts w:ascii="Times New Roman" w:eastAsia="Times New Roman" w:hAnsi="Times New Roman" w:cs="Times New Roman"/>
          <w:color w:val="000000"/>
          <w:sz w:val="24"/>
          <w:szCs w:val="24"/>
        </w:rPr>
      </w:pPr>
      <w:r w:rsidRPr="00D646DC">
        <w:rPr>
          <w:rFonts w:ascii="Times New Roman" w:eastAsia="Times New Roman" w:hAnsi="Times New Roman" w:cs="Times New Roman"/>
          <w:color w:val="000000"/>
          <w:sz w:val="24"/>
          <w:szCs w:val="24"/>
        </w:rPr>
        <w:t xml:space="preserve">Each student must take personal responsibility for knowing and following the university’s COVID-19 protocols. Students are expected to follow all COVID-19 directives published by Tennessee Tech on its official COVID-19 webpage:  </w:t>
      </w:r>
      <w:hyperlink r:id="rId20" w:history="1">
        <w:r w:rsidRPr="00D646DC">
          <w:rPr>
            <w:rStyle w:val="Hyperlink"/>
            <w:rFonts w:ascii="Times New Roman" w:eastAsia="Times New Roman" w:hAnsi="Times New Roman" w:cs="Times New Roman"/>
            <w:color w:val="9900FF"/>
            <w:sz w:val="24"/>
            <w:szCs w:val="24"/>
          </w:rPr>
          <w:t>www.tntech.edu/covid19</w:t>
        </w:r>
      </w:hyperlink>
      <w:r w:rsidRPr="00D646DC">
        <w:rPr>
          <w:rFonts w:ascii="Times New Roman" w:eastAsia="Times New Roman" w:hAnsi="Times New Roman" w:cs="Times New Roman"/>
          <w:color w:val="000000"/>
          <w:sz w:val="24"/>
          <w:szCs w:val="24"/>
        </w:rPr>
        <w:t xml:space="preserve">.  </w:t>
      </w:r>
    </w:p>
    <w:p w14:paraId="1EFEE748" w14:textId="77777777" w:rsidR="00D646DC" w:rsidRPr="00D646DC" w:rsidRDefault="00D646DC" w:rsidP="00D646DC">
      <w:pPr>
        <w:pStyle w:val="xxxmsonormal"/>
        <w:numPr>
          <w:ilvl w:val="0"/>
          <w:numId w:val="1"/>
        </w:numPr>
        <w:shd w:val="clear" w:color="auto" w:fill="FFFFFF"/>
        <w:spacing w:before="0" w:beforeAutospacing="0" w:after="0" w:afterAutospacing="0"/>
        <w:jc w:val="both"/>
        <w:rPr>
          <w:rFonts w:ascii="Times New Roman" w:eastAsia="Times New Roman" w:hAnsi="Times New Roman" w:cs="Times New Roman"/>
          <w:color w:val="000000"/>
          <w:sz w:val="24"/>
          <w:szCs w:val="24"/>
        </w:rPr>
      </w:pPr>
      <w:r w:rsidRPr="00D646DC">
        <w:rPr>
          <w:rFonts w:ascii="Times New Roman" w:eastAsia="Times New Roman" w:hAnsi="Times New Roman" w:cs="Times New Roman"/>
          <w:color w:val="000000"/>
          <w:sz w:val="24"/>
          <w:szCs w:val="24"/>
        </w:rPr>
        <w:lastRenderedPageBreak/>
        <w:t>As conditions related to the pandemic change, the university's COVID-19 protocols are also likely to change. Students are expected to monitor the university's official COVID-19 webpage to stay up to date on all university COVID-19 protocols.</w:t>
      </w:r>
    </w:p>
    <w:p w14:paraId="33FB6736" w14:textId="77777777" w:rsidR="00D646DC" w:rsidRPr="00D646DC" w:rsidRDefault="00D646DC" w:rsidP="00D646DC">
      <w:pPr>
        <w:pStyle w:val="xxxmsonormal"/>
        <w:numPr>
          <w:ilvl w:val="0"/>
          <w:numId w:val="1"/>
        </w:numPr>
        <w:shd w:val="clear" w:color="auto" w:fill="FFFFFF"/>
        <w:spacing w:before="0" w:beforeAutospacing="0" w:after="0" w:afterAutospacing="0"/>
        <w:jc w:val="both"/>
        <w:rPr>
          <w:rFonts w:ascii="Times New Roman" w:eastAsia="Times New Roman" w:hAnsi="Times New Roman" w:cs="Times New Roman"/>
          <w:color w:val="000000"/>
          <w:sz w:val="24"/>
          <w:szCs w:val="24"/>
        </w:rPr>
      </w:pPr>
      <w:r w:rsidRPr="00D646DC">
        <w:rPr>
          <w:rFonts w:ascii="Times New Roman" w:eastAsia="Times New Roman" w:hAnsi="Times New Roman" w:cs="Times New Roman"/>
          <w:color w:val="000000"/>
          <w:sz w:val="24"/>
          <w:szCs w:val="24"/>
        </w:rPr>
        <w:t>If the university's COVID-19 protocols include the wearing of face coverings inside campus facilities, then face coverings </w:t>
      </w:r>
      <w:r w:rsidRPr="00D646DC">
        <w:rPr>
          <w:rFonts w:ascii="Times New Roman" w:eastAsia="Times New Roman" w:hAnsi="Times New Roman" w:cs="Times New Roman"/>
          <w:color w:val="000000"/>
          <w:sz w:val="24"/>
          <w:szCs w:val="24"/>
          <w:u w:val="single"/>
        </w:rPr>
        <w:t>must be worn</w:t>
      </w:r>
      <w:r w:rsidRPr="00D646DC">
        <w:rPr>
          <w:rFonts w:ascii="Times New Roman" w:eastAsia="Times New Roman" w:hAnsi="Times New Roman" w:cs="Times New Roman"/>
          <w:color w:val="000000"/>
          <w:sz w:val="24"/>
          <w:szCs w:val="24"/>
        </w:rPr>
        <w:t xml:space="preserve"> covering the mouth and nose. Protocols will apply to all vaccinated and unvaccinated individuals. </w:t>
      </w:r>
    </w:p>
    <w:p w14:paraId="4EB342FB" w14:textId="77777777" w:rsidR="00D646DC" w:rsidRPr="00D646DC" w:rsidRDefault="00D646DC" w:rsidP="00D646DC">
      <w:pPr>
        <w:pStyle w:val="xxxmsonormal"/>
        <w:numPr>
          <w:ilvl w:val="0"/>
          <w:numId w:val="1"/>
        </w:numPr>
        <w:shd w:val="clear" w:color="auto" w:fill="FFFFFF"/>
        <w:spacing w:before="0" w:beforeAutospacing="0" w:after="0" w:afterAutospacing="0"/>
        <w:jc w:val="both"/>
        <w:rPr>
          <w:rFonts w:ascii="Times New Roman" w:eastAsia="Times New Roman" w:hAnsi="Times New Roman" w:cs="Times New Roman"/>
          <w:color w:val="000000"/>
          <w:sz w:val="24"/>
          <w:szCs w:val="24"/>
        </w:rPr>
      </w:pPr>
      <w:r w:rsidRPr="00D646DC">
        <w:rPr>
          <w:rFonts w:ascii="Times New Roman" w:eastAsia="Times New Roman" w:hAnsi="Times New Roman" w:cs="Times New Roman"/>
          <w:color w:val="000000"/>
          <w:sz w:val="24"/>
          <w:szCs w:val="24"/>
        </w:rPr>
        <w:t>Students who refuse to comply with university protocols will be reported to the Tennessee Tech Dean of Students.  </w:t>
      </w:r>
    </w:p>
    <w:p w14:paraId="4E1D7225" w14:textId="77777777" w:rsidR="00D646DC" w:rsidRPr="00D646DC" w:rsidRDefault="00D646DC" w:rsidP="00D646DC">
      <w:pPr>
        <w:pStyle w:val="xxxmsonormal"/>
        <w:numPr>
          <w:ilvl w:val="0"/>
          <w:numId w:val="1"/>
        </w:numPr>
        <w:shd w:val="clear" w:color="auto" w:fill="FFFFFF"/>
        <w:spacing w:before="0" w:beforeAutospacing="0" w:after="0" w:afterAutospacing="0"/>
        <w:rPr>
          <w:rFonts w:ascii="Times New Roman" w:eastAsia="Times New Roman" w:hAnsi="Times New Roman" w:cs="Times New Roman"/>
          <w:color w:val="201F1E"/>
          <w:sz w:val="24"/>
          <w:szCs w:val="24"/>
        </w:rPr>
      </w:pPr>
      <w:r w:rsidRPr="00D646DC">
        <w:rPr>
          <w:rFonts w:ascii="Times New Roman" w:eastAsia="Times New Roman" w:hAnsi="Times New Roman" w:cs="Times New Roman"/>
          <w:color w:val="000000"/>
          <w:sz w:val="24"/>
          <w:szCs w:val="24"/>
        </w:rPr>
        <w:t>Students should direct all requests for excused class absences related to COVID-19 to Tennessee Tech’s Health Services by following the student link at the following website: </w:t>
      </w:r>
      <w:hyperlink r:id="rId21" w:history="1">
        <w:r w:rsidRPr="00D646DC">
          <w:rPr>
            <w:rStyle w:val="Hyperlink"/>
            <w:rFonts w:ascii="Times New Roman" w:eastAsia="Times New Roman" w:hAnsi="Times New Roman" w:cs="Times New Roman"/>
            <w:color w:val="9900FF"/>
            <w:sz w:val="24"/>
            <w:szCs w:val="24"/>
          </w:rPr>
          <w:t>www.tntech.edu/covid19/report.php</w:t>
        </w:r>
      </w:hyperlink>
      <w:r w:rsidRPr="00D646DC">
        <w:rPr>
          <w:rFonts w:ascii="Times New Roman" w:eastAsia="Times New Roman" w:hAnsi="Times New Roman" w:cs="Times New Roman"/>
          <w:color w:val="000000"/>
          <w:sz w:val="24"/>
          <w:szCs w:val="24"/>
        </w:rPr>
        <w:t xml:space="preserve"> .  The Office of Student Affairs will provide notifications to faculty members of student absences and the expected length of the absence.  </w:t>
      </w:r>
    </w:p>
    <w:p w14:paraId="5AB0E2E9" w14:textId="77777777" w:rsidR="00D646DC" w:rsidRPr="00D646DC" w:rsidRDefault="00D646DC" w:rsidP="00D646DC">
      <w:pPr>
        <w:pStyle w:val="xxxmsonormal"/>
        <w:numPr>
          <w:ilvl w:val="0"/>
          <w:numId w:val="1"/>
        </w:numPr>
        <w:spacing w:before="0" w:beforeAutospacing="0" w:after="0" w:afterAutospacing="0"/>
        <w:rPr>
          <w:rFonts w:ascii="Times New Roman" w:eastAsia="Times New Roman" w:hAnsi="Times New Roman" w:cs="Times New Roman"/>
          <w:color w:val="000000"/>
          <w:sz w:val="24"/>
          <w:szCs w:val="24"/>
        </w:rPr>
      </w:pPr>
      <w:r w:rsidRPr="00D646DC">
        <w:rPr>
          <w:rFonts w:ascii="Times New Roman" w:eastAsia="Times New Roman" w:hAnsi="Times New Roman" w:cs="Times New Roman"/>
          <w:color w:val="000000"/>
          <w:sz w:val="24"/>
          <w:szCs w:val="24"/>
        </w:rPr>
        <w:t xml:space="preserve">Students can get a COVID-19 vaccine on campus at Tech Health Services. Call ahead to schedule at (931) 372-3320. COVID-19 vaccines are given free of charge daily, as well as testing. </w:t>
      </w:r>
    </w:p>
    <w:p w14:paraId="4EFDECF2" w14:textId="77777777" w:rsidR="00D646DC" w:rsidRPr="00D646DC" w:rsidRDefault="00D646DC" w:rsidP="00D646DC">
      <w:pPr>
        <w:pStyle w:val="xxxmsonormal"/>
        <w:numPr>
          <w:ilvl w:val="0"/>
          <w:numId w:val="1"/>
        </w:numPr>
        <w:shd w:val="clear" w:color="auto" w:fill="FFFFFF"/>
        <w:spacing w:before="0" w:beforeAutospacing="0" w:after="0" w:afterAutospacing="0"/>
        <w:jc w:val="both"/>
        <w:rPr>
          <w:rFonts w:ascii="Times New Roman" w:eastAsia="Times New Roman" w:hAnsi="Times New Roman" w:cs="Times New Roman"/>
          <w:color w:val="000000"/>
          <w:sz w:val="24"/>
          <w:szCs w:val="24"/>
        </w:rPr>
      </w:pPr>
      <w:r w:rsidRPr="00D646DC">
        <w:rPr>
          <w:rFonts w:ascii="Times New Roman" w:eastAsia="Times New Roman" w:hAnsi="Times New Roman" w:cs="Times New Roman"/>
          <w:color w:val="000000"/>
          <w:sz w:val="24"/>
          <w:szCs w:val="24"/>
        </w:rPr>
        <w:t xml:space="preserve">Per CDC guidelines, you are considered fully vaccinated: </w:t>
      </w:r>
    </w:p>
    <w:p w14:paraId="24BC6888" w14:textId="77777777" w:rsidR="00D646DC" w:rsidRDefault="00D646DC" w:rsidP="00D646DC">
      <w:pPr>
        <w:pStyle w:val="xxxmsonormal"/>
        <w:numPr>
          <w:ilvl w:val="0"/>
          <w:numId w:val="2"/>
        </w:numPr>
        <w:shd w:val="clear" w:color="auto" w:fill="FFFFFF"/>
        <w:spacing w:before="0" w:beforeAutospacing="0" w:afterAutospacing="0"/>
        <w:ind w:hanging="180"/>
        <w:jc w:val="both"/>
        <w:rPr>
          <w:rFonts w:ascii="Times New Roman" w:hAnsi="Times New Roman" w:cs="Times New Roman"/>
          <w:color w:val="000000"/>
          <w:sz w:val="24"/>
          <w:szCs w:val="24"/>
        </w:rPr>
      </w:pPr>
      <w:r w:rsidRPr="00D646DC">
        <w:rPr>
          <w:rFonts w:ascii="Times New Roman" w:hAnsi="Times New Roman" w:cs="Times New Roman"/>
          <w:color w:val="000000"/>
          <w:sz w:val="24"/>
          <w:szCs w:val="24"/>
        </w:rPr>
        <w:t>2 weeks after your second dose in a 2-dose series, such as the Pfizer or Moderna vaccines, O</w:t>
      </w:r>
      <w:r>
        <w:rPr>
          <w:rFonts w:ascii="Times New Roman" w:hAnsi="Times New Roman" w:cs="Times New Roman"/>
          <w:color w:val="000000"/>
          <w:sz w:val="24"/>
          <w:szCs w:val="24"/>
        </w:rPr>
        <w:t>R</w:t>
      </w:r>
    </w:p>
    <w:p w14:paraId="32016E8E" w14:textId="64BC3EA7" w:rsidR="00D646DC" w:rsidRPr="00D646DC" w:rsidRDefault="00D646DC" w:rsidP="00D646DC">
      <w:pPr>
        <w:pStyle w:val="xxxmsonormal"/>
        <w:numPr>
          <w:ilvl w:val="0"/>
          <w:numId w:val="2"/>
        </w:numPr>
        <w:shd w:val="clear" w:color="auto" w:fill="FFFFFF"/>
        <w:spacing w:before="0" w:beforeAutospacing="0" w:afterAutospacing="0"/>
        <w:ind w:hanging="180"/>
        <w:jc w:val="both"/>
        <w:rPr>
          <w:rFonts w:ascii="Times New Roman" w:hAnsi="Times New Roman" w:cs="Times New Roman"/>
          <w:color w:val="000000"/>
          <w:sz w:val="24"/>
          <w:szCs w:val="24"/>
        </w:rPr>
      </w:pPr>
      <w:r w:rsidRPr="00D646DC">
        <w:rPr>
          <w:rFonts w:ascii="Times New Roman" w:hAnsi="Times New Roman" w:cs="Times New Roman"/>
          <w:color w:val="000000"/>
          <w:sz w:val="24"/>
          <w:szCs w:val="24"/>
        </w:rPr>
        <w:t>2 weeks after a single-dose vaccine, such as Johnson &amp; Johnson’s Janssen vaccine</w:t>
      </w:r>
    </w:p>
    <w:p w14:paraId="102460A9" w14:textId="77777777" w:rsidR="007D6806" w:rsidRPr="00D646DC" w:rsidRDefault="007D6806" w:rsidP="00D51384">
      <w:pPr>
        <w:pStyle w:val="Heading3"/>
        <w:rPr>
          <w:rFonts w:cs="Times New Roman"/>
        </w:rPr>
      </w:pPr>
    </w:p>
    <w:sectPr w:rsidR="007D6806" w:rsidRPr="00D646D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1E128" w14:textId="77777777" w:rsidR="00ED485D" w:rsidRDefault="00ED485D" w:rsidP="007E7200">
      <w:pPr>
        <w:spacing w:after="0" w:line="240" w:lineRule="auto"/>
      </w:pPr>
      <w:r>
        <w:separator/>
      </w:r>
    </w:p>
  </w:endnote>
  <w:endnote w:type="continuationSeparator" w:id="0">
    <w:p w14:paraId="7BF51D7B" w14:textId="77777777" w:rsidR="00ED485D" w:rsidRDefault="00ED485D" w:rsidP="007E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20EA" w14:textId="6548EFE0" w:rsidR="007E7200" w:rsidRDefault="007E7200">
    <w:pPr>
      <w:pStyle w:val="Footer"/>
    </w:pPr>
    <w:r>
      <w:t>Updated August 13,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CFBDE" w14:textId="77777777" w:rsidR="00ED485D" w:rsidRDefault="00ED485D" w:rsidP="007E7200">
      <w:pPr>
        <w:spacing w:after="0" w:line="240" w:lineRule="auto"/>
      </w:pPr>
      <w:r>
        <w:separator/>
      </w:r>
    </w:p>
  </w:footnote>
  <w:footnote w:type="continuationSeparator" w:id="0">
    <w:p w14:paraId="127A7BD0" w14:textId="77777777" w:rsidR="00ED485D" w:rsidRDefault="00ED485D" w:rsidP="007E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qQUAzOYRliwAAAA="/>
  </w:docVars>
  <w:rsids>
    <w:rsidRoot w:val="00E54260"/>
    <w:rsid w:val="00064615"/>
    <w:rsid w:val="000731F6"/>
    <w:rsid w:val="000C59DA"/>
    <w:rsid w:val="00110E83"/>
    <w:rsid w:val="00134B40"/>
    <w:rsid w:val="001C193D"/>
    <w:rsid w:val="002903D8"/>
    <w:rsid w:val="002A02C8"/>
    <w:rsid w:val="002B3AC4"/>
    <w:rsid w:val="002B5A05"/>
    <w:rsid w:val="002F059D"/>
    <w:rsid w:val="0031575B"/>
    <w:rsid w:val="004347F2"/>
    <w:rsid w:val="004459CD"/>
    <w:rsid w:val="004D2985"/>
    <w:rsid w:val="00557FBC"/>
    <w:rsid w:val="005842B2"/>
    <w:rsid w:val="00616FC6"/>
    <w:rsid w:val="00626B71"/>
    <w:rsid w:val="007D6806"/>
    <w:rsid w:val="007E503C"/>
    <w:rsid w:val="007E7200"/>
    <w:rsid w:val="007F1BFE"/>
    <w:rsid w:val="008532E8"/>
    <w:rsid w:val="00873789"/>
    <w:rsid w:val="00883320"/>
    <w:rsid w:val="008B023A"/>
    <w:rsid w:val="008D4CD5"/>
    <w:rsid w:val="008D6DB6"/>
    <w:rsid w:val="009D4C70"/>
    <w:rsid w:val="00A20984"/>
    <w:rsid w:val="00A61FC3"/>
    <w:rsid w:val="00A82DA9"/>
    <w:rsid w:val="00AA2CF6"/>
    <w:rsid w:val="00B5347F"/>
    <w:rsid w:val="00B84493"/>
    <w:rsid w:val="00C11A27"/>
    <w:rsid w:val="00C23692"/>
    <w:rsid w:val="00C73677"/>
    <w:rsid w:val="00C948C1"/>
    <w:rsid w:val="00CD5064"/>
    <w:rsid w:val="00D51384"/>
    <w:rsid w:val="00D646DC"/>
    <w:rsid w:val="00E54260"/>
    <w:rsid w:val="00E914C7"/>
    <w:rsid w:val="00EC054A"/>
    <w:rsid w:val="00EC321F"/>
    <w:rsid w:val="00ED485D"/>
    <w:rsid w:val="00F94AFE"/>
    <w:rsid w:val="00FB3162"/>
    <w:rsid w:val="00FF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s.tntech.edu/display/MON/Help+Desk" TargetMode="External"/><Relationship Id="rId18" Type="http://schemas.openxmlformats.org/officeDocument/2006/relationships/hyperlink" Target="https://www.tntech.edu/counsel/index.php" TargetMode="External"/><Relationship Id="rId3" Type="http://schemas.openxmlformats.org/officeDocument/2006/relationships/customXml" Target="../customXml/item3.xml"/><Relationship Id="rId21" Type="http://schemas.openxmlformats.org/officeDocument/2006/relationships/hyperlink" Target="http://www.tntech.edu/covid19/report.php" TargetMode="External"/><Relationship Id="rId7" Type="http://schemas.openxmlformats.org/officeDocument/2006/relationships/webSettings" Target="webSettings.xml"/><Relationship Id="rId12" Type="http://schemas.openxmlformats.org/officeDocument/2006/relationships/hyperlink" Target="https://tntech.policytech.com/docview/?docid=1131&amp;public=true" TargetMode="External"/><Relationship Id="rId17" Type="http://schemas.openxmlformats.org/officeDocument/2006/relationships/hyperlink" Target="https://www.tntech.edu/library/learning-center.php" TargetMode="External"/><Relationship Id="rId2" Type="http://schemas.openxmlformats.org/officeDocument/2006/relationships/customXml" Target="../customXml/item2.xml"/><Relationship Id="rId16" Type="http://schemas.openxmlformats.org/officeDocument/2006/relationships/hyperlink" Target="https://www.tntech.edu/citl/accessibility-resources.php" TargetMode="External"/><Relationship Id="rId20" Type="http://schemas.openxmlformats.org/officeDocument/2006/relationships/hyperlink" Target="http://www.tntech.edu/covid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policytech.com/dotNet/documents/?docid=70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ntech.edu/citl/tech-services/index.php" TargetMode="External"/><Relationship Id="rId23" Type="http://schemas.openxmlformats.org/officeDocument/2006/relationships/fontTable" Target="fontTable.xml"/><Relationship Id="rId10" Type="http://schemas.openxmlformats.org/officeDocument/2006/relationships/hyperlink" Target="https://www.oercommons.org/" TargetMode="External"/><Relationship Id="rId19" Type="http://schemas.openxmlformats.org/officeDocument/2006/relationships/hyperlink" Target="https://www.tntech.edu/health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ntech.edu/citl/tech-services/index.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3.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Black, Tracy</cp:lastModifiedBy>
  <cp:revision>2</cp:revision>
  <dcterms:created xsi:type="dcterms:W3CDTF">2021-08-16T13:13:00Z</dcterms:created>
  <dcterms:modified xsi:type="dcterms:W3CDTF">2021-08-16T13:13:00Z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