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63501" w14:textId="339013C7" w:rsidR="006B0B88" w:rsidRPr="002712F9" w:rsidRDefault="006B0B88" w:rsidP="006B0B88">
      <w:pPr>
        <w:tabs>
          <w:tab w:val="left" w:pos="1440"/>
        </w:tabs>
        <w:jc w:val="center"/>
        <w:rPr>
          <w:rFonts w:ascii="Times New Roman" w:hAnsi="Times New Roman" w:cs="Times New Roman"/>
          <w:b/>
          <w:bCs/>
        </w:rPr>
      </w:pPr>
      <w:r w:rsidRPr="002712F9">
        <w:rPr>
          <w:rFonts w:ascii="Times New Roman" w:hAnsi="Times New Roman" w:cs="Times New Roman"/>
          <w:b/>
          <w:bCs/>
        </w:rPr>
        <w:t>Tenure-Track Schedule</w:t>
      </w:r>
    </w:p>
    <w:p w14:paraId="395376BC" w14:textId="7F46EA95" w:rsidR="006B0B88" w:rsidRDefault="006B0B88" w:rsidP="006B0B88">
      <w:pPr>
        <w:jc w:val="center"/>
        <w:rPr>
          <w:rFonts w:ascii="Times New Roman" w:hAnsi="Times New Roman" w:cs="Times New Roman"/>
        </w:rPr>
      </w:pPr>
    </w:p>
    <w:p w14:paraId="5EA25A27" w14:textId="77777777" w:rsidR="00AA401E" w:rsidRPr="002712F9" w:rsidRDefault="00AA401E" w:rsidP="006B0B88">
      <w:pPr>
        <w:jc w:val="center"/>
        <w:rPr>
          <w:rFonts w:ascii="Times New Roman" w:hAnsi="Times New Roman" w:cs="Times New Roman"/>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1260"/>
        <w:gridCol w:w="1175"/>
        <w:gridCol w:w="1260"/>
        <w:gridCol w:w="1800"/>
        <w:gridCol w:w="2520"/>
      </w:tblGrid>
      <w:tr w:rsidR="006B0B88" w:rsidRPr="00AA401E" w14:paraId="2D4D3F25" w14:textId="77777777" w:rsidTr="002712F9">
        <w:tc>
          <w:tcPr>
            <w:tcW w:w="1525" w:type="dxa"/>
            <w:vAlign w:val="center"/>
            <w:hideMark/>
          </w:tcPr>
          <w:p w14:paraId="5B1C1EBC" w14:textId="77777777" w:rsidR="006B0B88" w:rsidRPr="002712F9" w:rsidRDefault="006B0B88" w:rsidP="006B0B88">
            <w:pPr>
              <w:rPr>
                <w:rFonts w:ascii="Times New Roman" w:hAnsi="Times New Roman" w:cs="Times New Roman"/>
              </w:rPr>
            </w:pPr>
            <w:r w:rsidRPr="002712F9">
              <w:rPr>
                <w:rFonts w:ascii="Times New Roman" w:hAnsi="Times New Roman" w:cs="Times New Roman"/>
              </w:rPr>
              <w:t> </w:t>
            </w:r>
          </w:p>
        </w:tc>
        <w:tc>
          <w:tcPr>
            <w:tcW w:w="1260" w:type="dxa"/>
            <w:vAlign w:val="center"/>
            <w:hideMark/>
          </w:tcPr>
          <w:p w14:paraId="60D3F50D" w14:textId="77777777" w:rsidR="006B0B88" w:rsidRPr="002712F9" w:rsidRDefault="006B0B88" w:rsidP="00974A68">
            <w:pPr>
              <w:jc w:val="center"/>
              <w:rPr>
                <w:rFonts w:ascii="Times New Roman" w:hAnsi="Times New Roman" w:cs="Times New Roman"/>
              </w:rPr>
            </w:pPr>
            <w:r w:rsidRPr="002712F9">
              <w:rPr>
                <w:rFonts w:ascii="Times New Roman" w:hAnsi="Times New Roman" w:cs="Times New Roman"/>
                <w:b/>
                <w:bCs/>
              </w:rPr>
              <w:t>Notice to submit dossier</w:t>
            </w:r>
          </w:p>
        </w:tc>
        <w:tc>
          <w:tcPr>
            <w:tcW w:w="1175" w:type="dxa"/>
            <w:vAlign w:val="center"/>
            <w:hideMark/>
          </w:tcPr>
          <w:p w14:paraId="3E6CDCFF" w14:textId="77777777" w:rsidR="006B0B88" w:rsidRPr="002712F9" w:rsidRDefault="006B0B88" w:rsidP="00974A68">
            <w:pPr>
              <w:jc w:val="center"/>
              <w:rPr>
                <w:rFonts w:ascii="Times New Roman" w:hAnsi="Times New Roman" w:cs="Times New Roman"/>
              </w:rPr>
            </w:pPr>
            <w:r w:rsidRPr="002712F9">
              <w:rPr>
                <w:rFonts w:ascii="Times New Roman" w:hAnsi="Times New Roman" w:cs="Times New Roman"/>
                <w:b/>
                <w:bCs/>
              </w:rPr>
              <w:t>Dossier deadline</w:t>
            </w:r>
          </w:p>
        </w:tc>
        <w:tc>
          <w:tcPr>
            <w:tcW w:w="1260" w:type="dxa"/>
            <w:vAlign w:val="center"/>
            <w:hideMark/>
          </w:tcPr>
          <w:p w14:paraId="71670457" w14:textId="77777777" w:rsidR="006B0B88" w:rsidRPr="002712F9" w:rsidRDefault="006B0B88" w:rsidP="00974A68">
            <w:pPr>
              <w:jc w:val="center"/>
              <w:rPr>
                <w:rFonts w:ascii="Times New Roman" w:hAnsi="Times New Roman" w:cs="Times New Roman"/>
              </w:rPr>
            </w:pPr>
            <w:r w:rsidRPr="002712F9">
              <w:rPr>
                <w:rFonts w:ascii="Times New Roman" w:hAnsi="Times New Roman" w:cs="Times New Roman"/>
                <w:b/>
                <w:bCs/>
              </w:rPr>
              <w:t>Peer review deadline</w:t>
            </w:r>
          </w:p>
        </w:tc>
        <w:tc>
          <w:tcPr>
            <w:tcW w:w="1800" w:type="dxa"/>
            <w:vAlign w:val="center"/>
            <w:hideMark/>
          </w:tcPr>
          <w:p w14:paraId="181E786A" w14:textId="77777777" w:rsidR="006B0B88" w:rsidRPr="002712F9" w:rsidRDefault="006B0B88" w:rsidP="00974A68">
            <w:pPr>
              <w:jc w:val="center"/>
              <w:rPr>
                <w:rFonts w:ascii="Times New Roman" w:hAnsi="Times New Roman" w:cs="Times New Roman"/>
              </w:rPr>
            </w:pPr>
            <w:r w:rsidRPr="002712F9">
              <w:rPr>
                <w:rFonts w:ascii="Times New Roman" w:hAnsi="Times New Roman" w:cs="Times New Roman"/>
                <w:b/>
                <w:bCs/>
              </w:rPr>
              <w:t>Notice of decision</w:t>
            </w:r>
          </w:p>
        </w:tc>
        <w:tc>
          <w:tcPr>
            <w:tcW w:w="2520" w:type="dxa"/>
            <w:vAlign w:val="center"/>
            <w:hideMark/>
          </w:tcPr>
          <w:p w14:paraId="63FE4941" w14:textId="77777777" w:rsidR="006B0B88" w:rsidRPr="002712F9" w:rsidRDefault="006B0B88" w:rsidP="00974A68">
            <w:pPr>
              <w:jc w:val="center"/>
              <w:rPr>
                <w:rFonts w:ascii="Times New Roman" w:hAnsi="Times New Roman" w:cs="Times New Roman"/>
              </w:rPr>
            </w:pPr>
            <w:r w:rsidRPr="002712F9">
              <w:rPr>
                <w:rFonts w:ascii="Times New Roman" w:hAnsi="Times New Roman" w:cs="Times New Roman"/>
                <w:b/>
                <w:bCs/>
              </w:rPr>
              <w:t>Termination if not renewed or tenured</w:t>
            </w:r>
          </w:p>
        </w:tc>
      </w:tr>
      <w:tr w:rsidR="006B0B88" w:rsidRPr="00AA401E" w14:paraId="6C650E51" w14:textId="77777777" w:rsidTr="002712F9">
        <w:trPr>
          <w:trHeight w:val="632"/>
        </w:trPr>
        <w:tc>
          <w:tcPr>
            <w:tcW w:w="1525" w:type="dxa"/>
            <w:shd w:val="clear" w:color="auto" w:fill="F1F1F1"/>
            <w:vAlign w:val="center"/>
            <w:hideMark/>
          </w:tcPr>
          <w:p w14:paraId="077C43F0"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1st year</w:t>
            </w:r>
          </w:p>
        </w:tc>
        <w:tc>
          <w:tcPr>
            <w:tcW w:w="1260" w:type="dxa"/>
            <w:shd w:val="clear" w:color="auto" w:fill="F1F1F1"/>
            <w:vAlign w:val="center"/>
            <w:hideMark/>
          </w:tcPr>
          <w:p w14:paraId="45470B54"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Dec 1</w:t>
            </w:r>
          </w:p>
        </w:tc>
        <w:tc>
          <w:tcPr>
            <w:tcW w:w="1175" w:type="dxa"/>
            <w:shd w:val="clear" w:color="auto" w:fill="F1F1F1"/>
            <w:vAlign w:val="center"/>
            <w:hideMark/>
          </w:tcPr>
          <w:p w14:paraId="518A77BF"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Jan 15</w:t>
            </w:r>
          </w:p>
        </w:tc>
        <w:tc>
          <w:tcPr>
            <w:tcW w:w="1260" w:type="dxa"/>
            <w:shd w:val="clear" w:color="auto" w:fill="F1F1F1"/>
            <w:vAlign w:val="center"/>
            <w:hideMark/>
          </w:tcPr>
          <w:p w14:paraId="4820B93F"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Feb 1</w:t>
            </w:r>
          </w:p>
        </w:tc>
        <w:tc>
          <w:tcPr>
            <w:tcW w:w="1800" w:type="dxa"/>
            <w:shd w:val="clear" w:color="auto" w:fill="F1F1F1"/>
            <w:vAlign w:val="center"/>
            <w:hideMark/>
          </w:tcPr>
          <w:p w14:paraId="2A6F7E14"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Mar 1</w:t>
            </w:r>
          </w:p>
        </w:tc>
        <w:tc>
          <w:tcPr>
            <w:tcW w:w="2520" w:type="dxa"/>
            <w:shd w:val="clear" w:color="auto" w:fill="F1F1F1"/>
            <w:vAlign w:val="center"/>
            <w:hideMark/>
          </w:tcPr>
          <w:p w14:paraId="12449717"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1st year</w:t>
            </w:r>
          </w:p>
        </w:tc>
      </w:tr>
      <w:tr w:rsidR="006B0B88" w:rsidRPr="00AA401E" w14:paraId="4F6DED38" w14:textId="77777777" w:rsidTr="002712F9">
        <w:trPr>
          <w:trHeight w:val="677"/>
        </w:trPr>
        <w:tc>
          <w:tcPr>
            <w:tcW w:w="1525" w:type="dxa"/>
            <w:vAlign w:val="center"/>
            <w:hideMark/>
          </w:tcPr>
          <w:p w14:paraId="7BE325C5"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2nd year</w:t>
            </w:r>
          </w:p>
        </w:tc>
        <w:tc>
          <w:tcPr>
            <w:tcW w:w="1260" w:type="dxa"/>
            <w:vAlign w:val="center"/>
            <w:hideMark/>
          </w:tcPr>
          <w:p w14:paraId="542CE995"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Jan 15</w:t>
            </w:r>
          </w:p>
        </w:tc>
        <w:tc>
          <w:tcPr>
            <w:tcW w:w="1175" w:type="dxa"/>
            <w:vAlign w:val="center"/>
            <w:hideMark/>
          </w:tcPr>
          <w:p w14:paraId="5A09CC13"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Feb 15</w:t>
            </w:r>
          </w:p>
        </w:tc>
        <w:tc>
          <w:tcPr>
            <w:tcW w:w="1260" w:type="dxa"/>
            <w:vAlign w:val="center"/>
            <w:hideMark/>
          </w:tcPr>
          <w:p w14:paraId="44E6D1AA"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Mar 1</w:t>
            </w:r>
          </w:p>
        </w:tc>
        <w:tc>
          <w:tcPr>
            <w:tcW w:w="1800" w:type="dxa"/>
            <w:vAlign w:val="center"/>
            <w:hideMark/>
          </w:tcPr>
          <w:p w14:paraId="66063BA6"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2nd academic year</w:t>
            </w:r>
          </w:p>
        </w:tc>
        <w:tc>
          <w:tcPr>
            <w:tcW w:w="2520" w:type="dxa"/>
            <w:vAlign w:val="center"/>
            <w:hideMark/>
          </w:tcPr>
          <w:p w14:paraId="182B47CB"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3rd year</w:t>
            </w:r>
          </w:p>
        </w:tc>
      </w:tr>
      <w:tr w:rsidR="006B0B88" w:rsidRPr="00AA401E" w14:paraId="2F7849C5" w14:textId="77777777" w:rsidTr="002712F9">
        <w:trPr>
          <w:trHeight w:val="677"/>
        </w:trPr>
        <w:tc>
          <w:tcPr>
            <w:tcW w:w="1525" w:type="dxa"/>
            <w:shd w:val="clear" w:color="auto" w:fill="F1F1F1"/>
            <w:vAlign w:val="center"/>
            <w:hideMark/>
          </w:tcPr>
          <w:p w14:paraId="47325935"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3rd year</w:t>
            </w:r>
          </w:p>
        </w:tc>
        <w:tc>
          <w:tcPr>
            <w:tcW w:w="1260" w:type="dxa"/>
            <w:shd w:val="clear" w:color="auto" w:fill="F1F1F1"/>
            <w:vAlign w:val="center"/>
            <w:hideMark/>
          </w:tcPr>
          <w:p w14:paraId="71951440"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Jan 15</w:t>
            </w:r>
          </w:p>
        </w:tc>
        <w:tc>
          <w:tcPr>
            <w:tcW w:w="1175" w:type="dxa"/>
            <w:shd w:val="clear" w:color="auto" w:fill="F1F1F1"/>
            <w:vAlign w:val="center"/>
            <w:hideMark/>
          </w:tcPr>
          <w:p w14:paraId="7F36DED2"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Feb 15</w:t>
            </w:r>
          </w:p>
        </w:tc>
        <w:tc>
          <w:tcPr>
            <w:tcW w:w="1260" w:type="dxa"/>
            <w:shd w:val="clear" w:color="auto" w:fill="F1F1F1"/>
            <w:vAlign w:val="center"/>
            <w:hideMark/>
          </w:tcPr>
          <w:p w14:paraId="770F1CFD"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Mar 1</w:t>
            </w:r>
          </w:p>
        </w:tc>
        <w:tc>
          <w:tcPr>
            <w:tcW w:w="1800" w:type="dxa"/>
            <w:shd w:val="clear" w:color="auto" w:fill="F1F1F1"/>
            <w:vAlign w:val="center"/>
            <w:hideMark/>
          </w:tcPr>
          <w:p w14:paraId="19D81C1C"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3rd academic year</w:t>
            </w:r>
          </w:p>
        </w:tc>
        <w:tc>
          <w:tcPr>
            <w:tcW w:w="2520" w:type="dxa"/>
            <w:shd w:val="clear" w:color="auto" w:fill="F1F1F1"/>
            <w:vAlign w:val="center"/>
            <w:hideMark/>
          </w:tcPr>
          <w:p w14:paraId="12BB1DF0"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4th year</w:t>
            </w:r>
          </w:p>
        </w:tc>
      </w:tr>
      <w:tr w:rsidR="006B0B88" w:rsidRPr="00AA401E" w14:paraId="64CE24AA" w14:textId="77777777" w:rsidTr="002712F9">
        <w:trPr>
          <w:trHeight w:val="677"/>
        </w:trPr>
        <w:tc>
          <w:tcPr>
            <w:tcW w:w="1525" w:type="dxa"/>
            <w:vAlign w:val="center"/>
            <w:hideMark/>
          </w:tcPr>
          <w:p w14:paraId="34B2CC48"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4th year</w:t>
            </w:r>
          </w:p>
        </w:tc>
        <w:tc>
          <w:tcPr>
            <w:tcW w:w="1260" w:type="dxa"/>
            <w:vAlign w:val="center"/>
            <w:hideMark/>
          </w:tcPr>
          <w:p w14:paraId="4A53A519"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Jan 15</w:t>
            </w:r>
          </w:p>
        </w:tc>
        <w:tc>
          <w:tcPr>
            <w:tcW w:w="1175" w:type="dxa"/>
            <w:vAlign w:val="center"/>
            <w:hideMark/>
          </w:tcPr>
          <w:p w14:paraId="05F179BE"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Feb 15</w:t>
            </w:r>
          </w:p>
        </w:tc>
        <w:tc>
          <w:tcPr>
            <w:tcW w:w="1260" w:type="dxa"/>
            <w:vAlign w:val="center"/>
            <w:hideMark/>
          </w:tcPr>
          <w:p w14:paraId="1BD81058"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Mar 1</w:t>
            </w:r>
          </w:p>
        </w:tc>
        <w:tc>
          <w:tcPr>
            <w:tcW w:w="1800" w:type="dxa"/>
            <w:vAlign w:val="center"/>
            <w:hideMark/>
          </w:tcPr>
          <w:p w14:paraId="4AF7BACA"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4th academic year</w:t>
            </w:r>
          </w:p>
        </w:tc>
        <w:tc>
          <w:tcPr>
            <w:tcW w:w="2520" w:type="dxa"/>
            <w:vAlign w:val="center"/>
            <w:hideMark/>
          </w:tcPr>
          <w:p w14:paraId="1CC5A16A"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5th year</w:t>
            </w:r>
          </w:p>
        </w:tc>
      </w:tr>
      <w:tr w:rsidR="006B0B88" w:rsidRPr="00AA401E" w14:paraId="432CA9AC" w14:textId="77777777" w:rsidTr="002712F9">
        <w:trPr>
          <w:trHeight w:val="686"/>
        </w:trPr>
        <w:tc>
          <w:tcPr>
            <w:tcW w:w="1525" w:type="dxa"/>
            <w:shd w:val="clear" w:color="auto" w:fill="F1F1F1"/>
            <w:vAlign w:val="center"/>
            <w:hideMark/>
          </w:tcPr>
          <w:p w14:paraId="536180B2" w14:textId="675CD699" w:rsidR="006B0B88" w:rsidRPr="002712F9" w:rsidRDefault="006B0B88" w:rsidP="006B0B88">
            <w:pPr>
              <w:jc w:val="center"/>
              <w:rPr>
                <w:rFonts w:ascii="Times New Roman" w:hAnsi="Times New Roman" w:cs="Times New Roman"/>
              </w:rPr>
            </w:pPr>
            <w:r w:rsidRPr="002712F9">
              <w:rPr>
                <w:rFonts w:ascii="Times New Roman" w:hAnsi="Times New Roman" w:cs="Times New Roman"/>
              </w:rPr>
              <w:t>5th (</w:t>
            </w:r>
            <w:r w:rsidR="00AA401E">
              <w:rPr>
                <w:rFonts w:ascii="Times New Roman" w:hAnsi="Times New Roman" w:cs="Times New Roman"/>
              </w:rPr>
              <w:t>pre-</w:t>
            </w:r>
            <w:proofErr w:type="gramStart"/>
            <w:r w:rsidR="00AA401E">
              <w:rPr>
                <w:rFonts w:ascii="Times New Roman" w:hAnsi="Times New Roman" w:cs="Times New Roman"/>
              </w:rPr>
              <w:t>tenure</w:t>
            </w:r>
            <w:r w:rsidRPr="002712F9">
              <w:rPr>
                <w:rFonts w:ascii="Times New Roman" w:hAnsi="Times New Roman" w:cs="Times New Roman"/>
              </w:rPr>
              <w:t>)*</w:t>
            </w:r>
            <w:proofErr w:type="gramEnd"/>
          </w:p>
        </w:tc>
        <w:tc>
          <w:tcPr>
            <w:tcW w:w="1260" w:type="dxa"/>
            <w:shd w:val="clear" w:color="auto" w:fill="F1F1F1"/>
            <w:vAlign w:val="center"/>
            <w:hideMark/>
          </w:tcPr>
          <w:p w14:paraId="5E931EEE"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Jan 15</w:t>
            </w:r>
          </w:p>
        </w:tc>
        <w:tc>
          <w:tcPr>
            <w:tcW w:w="1175" w:type="dxa"/>
            <w:shd w:val="clear" w:color="auto" w:fill="F1F1F1"/>
            <w:vAlign w:val="center"/>
            <w:hideMark/>
          </w:tcPr>
          <w:p w14:paraId="4D166A60"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Feb 15</w:t>
            </w:r>
          </w:p>
        </w:tc>
        <w:tc>
          <w:tcPr>
            <w:tcW w:w="1260" w:type="dxa"/>
            <w:shd w:val="clear" w:color="auto" w:fill="F1F1F1"/>
            <w:vAlign w:val="center"/>
            <w:hideMark/>
          </w:tcPr>
          <w:p w14:paraId="6FFBBD83"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Mar 1</w:t>
            </w:r>
          </w:p>
        </w:tc>
        <w:tc>
          <w:tcPr>
            <w:tcW w:w="1800" w:type="dxa"/>
            <w:shd w:val="clear" w:color="auto" w:fill="F1F1F1"/>
            <w:vAlign w:val="center"/>
            <w:hideMark/>
          </w:tcPr>
          <w:p w14:paraId="27A24639"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5th academic year</w:t>
            </w:r>
          </w:p>
        </w:tc>
        <w:tc>
          <w:tcPr>
            <w:tcW w:w="2520" w:type="dxa"/>
            <w:shd w:val="clear" w:color="auto" w:fill="F1F1F1"/>
            <w:vAlign w:val="center"/>
            <w:hideMark/>
          </w:tcPr>
          <w:p w14:paraId="176CC776"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6th year</w:t>
            </w:r>
          </w:p>
        </w:tc>
      </w:tr>
      <w:tr w:rsidR="006B0B88" w:rsidRPr="00AA401E" w14:paraId="6274278E" w14:textId="77777777" w:rsidTr="002712F9">
        <w:trPr>
          <w:trHeight w:val="677"/>
        </w:trPr>
        <w:tc>
          <w:tcPr>
            <w:tcW w:w="1525" w:type="dxa"/>
            <w:vAlign w:val="center"/>
            <w:hideMark/>
          </w:tcPr>
          <w:p w14:paraId="237600FB"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Tenure year (5th or 6th)*</w:t>
            </w:r>
          </w:p>
        </w:tc>
        <w:tc>
          <w:tcPr>
            <w:tcW w:w="1260" w:type="dxa"/>
            <w:vAlign w:val="center"/>
            <w:hideMark/>
          </w:tcPr>
          <w:p w14:paraId="01105A54"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Sept 1</w:t>
            </w:r>
          </w:p>
        </w:tc>
        <w:tc>
          <w:tcPr>
            <w:tcW w:w="1175" w:type="dxa"/>
            <w:vAlign w:val="center"/>
            <w:hideMark/>
          </w:tcPr>
          <w:p w14:paraId="6B660462"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Oct 15</w:t>
            </w:r>
          </w:p>
        </w:tc>
        <w:tc>
          <w:tcPr>
            <w:tcW w:w="1260" w:type="dxa"/>
            <w:vAlign w:val="center"/>
            <w:hideMark/>
          </w:tcPr>
          <w:p w14:paraId="43C30276"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Nov 21</w:t>
            </w:r>
          </w:p>
        </w:tc>
        <w:tc>
          <w:tcPr>
            <w:tcW w:w="1800" w:type="dxa"/>
            <w:vAlign w:val="center"/>
            <w:hideMark/>
          </w:tcPr>
          <w:p w14:paraId="2B424C99"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5th or 6th academic year</w:t>
            </w:r>
          </w:p>
        </w:tc>
        <w:tc>
          <w:tcPr>
            <w:tcW w:w="2520" w:type="dxa"/>
            <w:vAlign w:val="center"/>
            <w:hideMark/>
          </w:tcPr>
          <w:p w14:paraId="29815A5B" w14:textId="77777777" w:rsidR="006B0B88" w:rsidRPr="002712F9" w:rsidRDefault="006B0B88" w:rsidP="006B0B88">
            <w:pPr>
              <w:jc w:val="center"/>
              <w:rPr>
                <w:rFonts w:ascii="Times New Roman" w:hAnsi="Times New Roman" w:cs="Times New Roman"/>
              </w:rPr>
            </w:pPr>
            <w:r w:rsidRPr="002712F9">
              <w:rPr>
                <w:rFonts w:ascii="Times New Roman" w:hAnsi="Times New Roman" w:cs="Times New Roman"/>
              </w:rPr>
              <w:t>End of 6th or 7th year</w:t>
            </w:r>
          </w:p>
        </w:tc>
      </w:tr>
    </w:tbl>
    <w:p w14:paraId="6CB5B978" w14:textId="77777777" w:rsidR="006B0B88" w:rsidRPr="002712F9" w:rsidRDefault="006B0B88" w:rsidP="006B0B88">
      <w:pPr>
        <w:rPr>
          <w:rFonts w:ascii="Times New Roman" w:hAnsi="Times New Roman" w:cs="Times New Roman"/>
        </w:rPr>
      </w:pPr>
    </w:p>
    <w:p w14:paraId="4245FEA9" w14:textId="24C1784D" w:rsidR="00531E60" w:rsidRPr="00AA401E" w:rsidRDefault="006B0B88" w:rsidP="00531E60">
      <w:pPr>
        <w:rPr>
          <w:rFonts w:ascii="Times New Roman" w:eastAsia="Times New Roman" w:hAnsi="Times New Roman" w:cs="Times New Roman"/>
        </w:rPr>
      </w:pPr>
      <w:r w:rsidRPr="002712F9">
        <w:rPr>
          <w:rFonts w:ascii="Times New Roman" w:hAnsi="Times New Roman" w:cs="Times New Roman"/>
        </w:rPr>
        <w:t>*The faculty member may apply for tenure at the beginning of the 5th or 6th year after a probationary period of not less than four years (Faculty Tenure policy for exceptions.)</w:t>
      </w:r>
      <w:r w:rsidR="00AA401E">
        <w:rPr>
          <w:rFonts w:ascii="Times New Roman" w:hAnsi="Times New Roman" w:cs="Times New Roman"/>
        </w:rPr>
        <w:t xml:space="preserve">  </w:t>
      </w:r>
      <w:r w:rsidRPr="002712F9">
        <w:rPr>
          <w:rFonts w:ascii="Times New Roman" w:hAnsi="Times New Roman" w:cs="Times New Roman"/>
        </w:rPr>
        <w:t>A faculty member may apply for tenure only once regardless of whether it is the 5th year or the 6th year. If the ultimate result of the tenure application is negative, there is no second chance. </w:t>
      </w:r>
      <w:r w:rsidR="00531E60" w:rsidRPr="002712F9">
        <w:rPr>
          <w:rFonts w:ascii="Times New Roman" w:eastAsia="Times New Roman" w:hAnsi="Times New Roman" w:cs="Times New Roman"/>
          <w:color w:val="000000"/>
          <w:sz w:val="26"/>
          <w:szCs w:val="26"/>
        </w:rPr>
        <w:t>The tenure</w:t>
      </w:r>
      <w:r w:rsidR="00AA401E">
        <w:rPr>
          <w:rFonts w:ascii="Times New Roman" w:eastAsia="Times New Roman" w:hAnsi="Times New Roman" w:cs="Times New Roman"/>
          <w:color w:val="000000"/>
          <w:sz w:val="26"/>
          <w:szCs w:val="26"/>
        </w:rPr>
        <w:t>-</w:t>
      </w:r>
      <w:r w:rsidR="00531E60" w:rsidRPr="002712F9">
        <w:rPr>
          <w:rFonts w:ascii="Times New Roman" w:eastAsia="Times New Roman" w:hAnsi="Times New Roman" w:cs="Times New Roman"/>
          <w:color w:val="000000"/>
          <w:sz w:val="26"/>
          <w:szCs w:val="26"/>
        </w:rPr>
        <w:t>track schedule is based on actual years of service at Tennessee Tech.</w:t>
      </w:r>
    </w:p>
    <w:p w14:paraId="1D1E4BE7" w14:textId="4F14D17E" w:rsidR="006B0B88" w:rsidRPr="002712F9" w:rsidRDefault="006B0B88" w:rsidP="006B0B88">
      <w:pPr>
        <w:rPr>
          <w:rFonts w:ascii="Times New Roman" w:hAnsi="Times New Roman" w:cs="Times New Roman"/>
        </w:rPr>
      </w:pPr>
    </w:p>
    <w:p w14:paraId="2E52A42D" w14:textId="77777777" w:rsidR="006B0B88" w:rsidRPr="002712F9" w:rsidRDefault="006B0B88" w:rsidP="006B0B88">
      <w:pPr>
        <w:rPr>
          <w:rFonts w:ascii="Times New Roman" w:hAnsi="Times New Roman" w:cs="Times New Roman"/>
          <w:b/>
          <w:bCs/>
        </w:rPr>
      </w:pPr>
      <w:r w:rsidRPr="002712F9">
        <w:rPr>
          <w:rFonts w:ascii="Times New Roman" w:hAnsi="Times New Roman" w:cs="Times New Roman"/>
        </w:rPr>
        <w:br/>
      </w:r>
      <w:r w:rsidRPr="002712F9">
        <w:rPr>
          <w:rFonts w:ascii="Times New Roman" w:hAnsi="Times New Roman" w:cs="Times New Roman"/>
          <w:b/>
          <w:bCs/>
        </w:rPr>
        <w:t>Reporting deadlines for the tenure year include:</w:t>
      </w:r>
    </w:p>
    <w:p w14:paraId="6D46EA64" w14:textId="579FE7FB" w:rsidR="00ED4CFD" w:rsidRPr="002712F9" w:rsidRDefault="006B0B88" w:rsidP="00ED4CFD">
      <w:pPr>
        <w:pStyle w:val="ListParagraph"/>
        <w:numPr>
          <w:ilvl w:val="0"/>
          <w:numId w:val="2"/>
        </w:numPr>
        <w:rPr>
          <w:rFonts w:ascii="Times New Roman" w:hAnsi="Times New Roman" w:cs="Times New Roman"/>
        </w:rPr>
      </w:pPr>
      <w:r w:rsidRPr="002712F9">
        <w:rPr>
          <w:rFonts w:ascii="Times New Roman" w:hAnsi="Times New Roman" w:cs="Times New Roman"/>
        </w:rPr>
        <w:t xml:space="preserve">Tenure Committee decision to </w:t>
      </w:r>
      <w:r w:rsidR="00AA401E">
        <w:rPr>
          <w:rFonts w:ascii="Times New Roman" w:hAnsi="Times New Roman" w:cs="Times New Roman"/>
        </w:rPr>
        <w:t xml:space="preserve">Departmental/Unit </w:t>
      </w:r>
      <w:r w:rsidRPr="002712F9">
        <w:rPr>
          <w:rFonts w:ascii="Times New Roman" w:hAnsi="Times New Roman" w:cs="Times New Roman"/>
        </w:rPr>
        <w:t>Chair: November 21</w:t>
      </w:r>
    </w:p>
    <w:p w14:paraId="1E748EAA" w14:textId="53363AA0" w:rsidR="00ED4CFD" w:rsidRPr="002712F9" w:rsidRDefault="00AA401E" w:rsidP="00ED4CFD">
      <w:pPr>
        <w:pStyle w:val="ListParagraph"/>
        <w:numPr>
          <w:ilvl w:val="0"/>
          <w:numId w:val="2"/>
        </w:numPr>
        <w:rPr>
          <w:rFonts w:ascii="Times New Roman" w:hAnsi="Times New Roman" w:cs="Times New Roman"/>
        </w:rPr>
      </w:pPr>
      <w:r>
        <w:rPr>
          <w:rFonts w:ascii="Times New Roman" w:hAnsi="Times New Roman" w:cs="Times New Roman"/>
        </w:rPr>
        <w:t xml:space="preserve">Departmental/Unit </w:t>
      </w:r>
      <w:r w:rsidR="006B0B88" w:rsidRPr="002712F9">
        <w:rPr>
          <w:rFonts w:ascii="Times New Roman" w:hAnsi="Times New Roman" w:cs="Times New Roman"/>
        </w:rPr>
        <w:t>Chair decision to Dean: January 10</w:t>
      </w:r>
    </w:p>
    <w:p w14:paraId="4285A780" w14:textId="2D30F106" w:rsidR="00ED4CFD" w:rsidRPr="002712F9" w:rsidRDefault="006B0B88" w:rsidP="00ED4CFD">
      <w:pPr>
        <w:pStyle w:val="ListParagraph"/>
        <w:numPr>
          <w:ilvl w:val="0"/>
          <w:numId w:val="2"/>
        </w:numPr>
        <w:rPr>
          <w:rFonts w:ascii="Times New Roman" w:hAnsi="Times New Roman" w:cs="Times New Roman"/>
        </w:rPr>
      </w:pPr>
      <w:r w:rsidRPr="002712F9">
        <w:rPr>
          <w:rFonts w:ascii="Times New Roman" w:hAnsi="Times New Roman" w:cs="Times New Roman"/>
        </w:rPr>
        <w:t xml:space="preserve">Dean decision to </w:t>
      </w:r>
      <w:r w:rsidR="00AA401E">
        <w:rPr>
          <w:rFonts w:ascii="Times New Roman" w:hAnsi="Times New Roman" w:cs="Times New Roman"/>
        </w:rPr>
        <w:t>Provost</w:t>
      </w:r>
      <w:r w:rsidRPr="002712F9">
        <w:rPr>
          <w:rFonts w:ascii="Times New Roman" w:hAnsi="Times New Roman" w:cs="Times New Roman"/>
        </w:rPr>
        <w:t>: February 15</w:t>
      </w:r>
    </w:p>
    <w:p w14:paraId="35FCEFBA" w14:textId="56AAF916" w:rsidR="00ED4CFD" w:rsidRPr="002712F9" w:rsidRDefault="00AA401E" w:rsidP="00ED4CFD">
      <w:pPr>
        <w:pStyle w:val="ListParagraph"/>
        <w:numPr>
          <w:ilvl w:val="0"/>
          <w:numId w:val="2"/>
        </w:numPr>
        <w:rPr>
          <w:rFonts w:ascii="Times New Roman" w:hAnsi="Times New Roman" w:cs="Times New Roman"/>
        </w:rPr>
      </w:pPr>
      <w:r>
        <w:rPr>
          <w:rFonts w:ascii="Times New Roman" w:hAnsi="Times New Roman" w:cs="Times New Roman"/>
        </w:rPr>
        <w:t>Provost</w:t>
      </w:r>
      <w:r w:rsidR="006B0B88" w:rsidRPr="002712F9">
        <w:rPr>
          <w:rFonts w:ascii="Times New Roman" w:hAnsi="Times New Roman" w:cs="Times New Roman"/>
        </w:rPr>
        <w:t xml:space="preserve"> decision to President: March </w:t>
      </w:r>
      <w:r w:rsidR="00766B37">
        <w:rPr>
          <w:rFonts w:ascii="Times New Roman" w:hAnsi="Times New Roman" w:cs="Times New Roman"/>
        </w:rPr>
        <w:t>30</w:t>
      </w:r>
    </w:p>
    <w:p w14:paraId="33712239" w14:textId="74F5EA03" w:rsidR="006B0B88" w:rsidRPr="002712F9" w:rsidRDefault="006B0B88" w:rsidP="00ED4CFD">
      <w:pPr>
        <w:pStyle w:val="ListParagraph"/>
        <w:numPr>
          <w:ilvl w:val="0"/>
          <w:numId w:val="2"/>
        </w:numPr>
        <w:rPr>
          <w:rFonts w:ascii="Times New Roman" w:hAnsi="Times New Roman" w:cs="Times New Roman"/>
        </w:rPr>
      </w:pPr>
      <w:r w:rsidRPr="002712F9">
        <w:rPr>
          <w:rFonts w:ascii="Times New Roman" w:hAnsi="Times New Roman" w:cs="Times New Roman"/>
        </w:rPr>
        <w:t>President decision to the Board</w:t>
      </w:r>
    </w:p>
    <w:p w14:paraId="1D512ADB" w14:textId="77777777" w:rsidR="00C96F81" w:rsidRPr="002712F9" w:rsidRDefault="00C96F81">
      <w:pPr>
        <w:rPr>
          <w:rFonts w:ascii="Times New Roman" w:hAnsi="Times New Roman" w:cs="Times New Roman"/>
        </w:rPr>
      </w:pPr>
      <w:bookmarkStart w:id="0" w:name="_GoBack"/>
      <w:bookmarkEnd w:id="0"/>
    </w:p>
    <w:sectPr w:rsidR="00C96F81" w:rsidRPr="002712F9" w:rsidSect="008152B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57653"/>
    <w:multiLevelType w:val="hybridMultilevel"/>
    <w:tmpl w:val="287C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32308"/>
    <w:multiLevelType w:val="hybridMultilevel"/>
    <w:tmpl w:val="6746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B88"/>
    <w:rsid w:val="00146355"/>
    <w:rsid w:val="002712F9"/>
    <w:rsid w:val="00323605"/>
    <w:rsid w:val="004B5BA2"/>
    <w:rsid w:val="00531E60"/>
    <w:rsid w:val="006B0B88"/>
    <w:rsid w:val="00766B37"/>
    <w:rsid w:val="008152BA"/>
    <w:rsid w:val="00974A68"/>
    <w:rsid w:val="00AA401E"/>
    <w:rsid w:val="00C96F81"/>
    <w:rsid w:val="00ED4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F888"/>
  <w14:defaultImageDpi w14:val="32767"/>
  <w15:chartTrackingRefBased/>
  <w15:docId w15:val="{663C1C1F-C258-3E48-8B02-919BA345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CFD"/>
    <w:pPr>
      <w:ind w:left="720"/>
      <w:contextualSpacing/>
    </w:pPr>
  </w:style>
  <w:style w:type="paragraph" w:styleId="BalloonText">
    <w:name w:val="Balloon Text"/>
    <w:basedOn w:val="Normal"/>
    <w:link w:val="BalloonTextChar"/>
    <w:uiPriority w:val="99"/>
    <w:semiHidden/>
    <w:unhideWhenUsed/>
    <w:rsid w:val="004B5B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BA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87750">
      <w:bodyDiv w:val="1"/>
      <w:marLeft w:val="0"/>
      <w:marRight w:val="0"/>
      <w:marTop w:val="0"/>
      <w:marBottom w:val="0"/>
      <w:divBdr>
        <w:top w:val="none" w:sz="0" w:space="0" w:color="auto"/>
        <w:left w:val="none" w:sz="0" w:space="0" w:color="auto"/>
        <w:bottom w:val="none" w:sz="0" w:space="0" w:color="auto"/>
        <w:right w:val="none" w:sz="0" w:space="0" w:color="auto"/>
      </w:divBdr>
    </w:div>
    <w:div w:id="80138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 Sharon</dc:creator>
  <cp:keywords/>
  <dc:description/>
  <cp:lastModifiedBy>Black, Tracy</cp:lastModifiedBy>
  <cp:revision>2</cp:revision>
  <dcterms:created xsi:type="dcterms:W3CDTF">2022-03-22T19:47:00Z</dcterms:created>
  <dcterms:modified xsi:type="dcterms:W3CDTF">2022-03-22T19:47:00Z</dcterms:modified>
</cp:coreProperties>
</file>