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A111" w14:textId="77777777" w:rsidR="003E2469" w:rsidRPr="003E2469" w:rsidRDefault="003E2469" w:rsidP="003E2469">
      <w:pPr>
        <w:spacing w:after="0" w:line="240" w:lineRule="auto"/>
        <w:rPr>
          <w:rFonts w:ascii="PT Sans" w:hAnsi="PT Sans"/>
          <w:b/>
          <w:bCs/>
          <w:sz w:val="28"/>
          <w:szCs w:val="28"/>
        </w:rPr>
      </w:pPr>
      <w:r w:rsidRPr="003E2469">
        <w:rPr>
          <w:rFonts w:ascii="PT Sans" w:hAnsi="PT Sans"/>
          <w:b/>
          <w:bCs/>
          <w:sz w:val="28"/>
          <w:szCs w:val="28"/>
        </w:rPr>
        <w:t>Collaborative Research and IRB Reliance</w:t>
      </w:r>
    </w:p>
    <w:p w14:paraId="43DC10EF" w14:textId="77777777" w:rsidR="00173510" w:rsidRPr="00173510" w:rsidRDefault="00173510" w:rsidP="00173510">
      <w:pPr>
        <w:spacing w:after="0" w:line="240" w:lineRule="auto"/>
        <w:rPr>
          <w:rFonts w:ascii="PT Sans" w:hAnsi="PT Sans"/>
          <w:b/>
          <w:bCs/>
        </w:rPr>
      </w:pPr>
    </w:p>
    <w:p w14:paraId="084F7955" w14:textId="1143DCE6" w:rsidR="00E664C6" w:rsidRPr="00173510" w:rsidRDefault="00173510" w:rsidP="00E664C6">
      <w:pPr>
        <w:spacing w:after="0" w:line="240" w:lineRule="auto"/>
        <w:rPr>
          <w:rFonts w:ascii="PT Sans" w:hAnsi="PT Sans"/>
        </w:rPr>
      </w:pPr>
      <w:r w:rsidRPr="00A53E49">
        <w:rPr>
          <w:rFonts w:ascii="PT Sans" w:hAnsi="PT Sans"/>
        </w:rPr>
        <w:t>Tennessee Tech</w:t>
      </w:r>
      <w:r w:rsidRPr="00173510">
        <w:rPr>
          <w:rFonts w:ascii="PT Sans" w:hAnsi="PT Sans"/>
        </w:rPr>
        <w:t xml:space="preserve"> University</w:t>
      </w:r>
      <w:r w:rsidRPr="00A53E49">
        <w:rPr>
          <w:rFonts w:ascii="PT Sans" w:hAnsi="PT Sans"/>
        </w:rPr>
        <w:t xml:space="preserve"> </w:t>
      </w:r>
      <w:r w:rsidRPr="00173510">
        <w:rPr>
          <w:rFonts w:ascii="PT Sans" w:hAnsi="PT Sans"/>
        </w:rPr>
        <w:t xml:space="preserve">participates in collaborative, multi-institutional human </w:t>
      </w:r>
      <w:proofErr w:type="gramStart"/>
      <w:r w:rsidRPr="00173510">
        <w:rPr>
          <w:rFonts w:ascii="PT Sans" w:hAnsi="PT Sans"/>
        </w:rPr>
        <w:t>subjects</w:t>
      </w:r>
      <w:proofErr w:type="gramEnd"/>
      <w:r w:rsidRPr="00173510">
        <w:rPr>
          <w:rFonts w:ascii="PT Sans" w:hAnsi="PT Sans"/>
        </w:rPr>
        <w:t xml:space="preserve"> research. In cases where a T</w:t>
      </w:r>
      <w:r w:rsidRPr="00A53E49">
        <w:rPr>
          <w:rFonts w:ascii="PT Sans" w:hAnsi="PT Sans"/>
        </w:rPr>
        <w:t>ennessee Tech</w:t>
      </w:r>
      <w:r w:rsidRPr="00173510">
        <w:rPr>
          <w:rFonts w:ascii="PT Sans" w:hAnsi="PT Sans"/>
        </w:rPr>
        <w:t xml:space="preserve"> </w:t>
      </w:r>
      <w:r w:rsidR="00E664C6">
        <w:rPr>
          <w:rFonts w:ascii="PT Sans" w:hAnsi="PT Sans"/>
        </w:rPr>
        <w:t>researcher</w:t>
      </w:r>
      <w:r w:rsidRPr="00173510">
        <w:rPr>
          <w:rFonts w:ascii="PT Sans" w:hAnsi="PT Sans"/>
        </w:rPr>
        <w:t xml:space="preserve"> is </w:t>
      </w:r>
      <w:r w:rsidR="00C64929" w:rsidRPr="00A53E49">
        <w:rPr>
          <w:rFonts w:ascii="PT Sans" w:hAnsi="PT Sans"/>
        </w:rPr>
        <w:t xml:space="preserve">conducting collaborative, non-exempt (i.e., Expedited or Full Board) research involving human subjects with an institution that has a </w:t>
      </w:r>
      <w:proofErr w:type="spellStart"/>
      <w:r w:rsidR="00C64929" w:rsidRPr="00A53E49">
        <w:rPr>
          <w:rFonts w:ascii="PT Sans" w:hAnsi="PT Sans"/>
        </w:rPr>
        <w:t>federalwide</w:t>
      </w:r>
      <w:proofErr w:type="spellEnd"/>
      <w:r w:rsidR="00C64929" w:rsidRPr="00A53E49">
        <w:rPr>
          <w:rFonts w:ascii="PT Sans" w:hAnsi="PT Sans"/>
        </w:rPr>
        <w:t xml:space="preserve"> assurance (FWA), it may be possible to establish a reliance agreement </w:t>
      </w:r>
      <w:r w:rsidR="00E664C6">
        <w:rPr>
          <w:rFonts w:ascii="PT Sans" w:hAnsi="PT Sans"/>
        </w:rPr>
        <w:t>which allows</w:t>
      </w:r>
      <w:r w:rsidR="00C64929" w:rsidRPr="00A53E49">
        <w:rPr>
          <w:rFonts w:ascii="PT Sans" w:hAnsi="PT Sans"/>
        </w:rPr>
        <w:t xml:space="preserve"> </w:t>
      </w:r>
      <w:r w:rsidR="00E664C6">
        <w:rPr>
          <w:rFonts w:ascii="PT Sans" w:hAnsi="PT Sans"/>
        </w:rPr>
        <w:t>a Tennessee Tech researcher</w:t>
      </w:r>
      <w:r w:rsidR="00C64929" w:rsidRPr="00A53E49">
        <w:rPr>
          <w:rFonts w:ascii="PT Sans" w:hAnsi="PT Sans"/>
        </w:rPr>
        <w:t xml:space="preserve"> to rely on IRB review conducted by the other institution.</w:t>
      </w:r>
      <w:r w:rsidR="00E664C6">
        <w:rPr>
          <w:rFonts w:ascii="PT Sans" w:hAnsi="PT Sans"/>
        </w:rPr>
        <w:t xml:space="preserve"> </w:t>
      </w:r>
      <w:r w:rsidR="00E664C6" w:rsidRPr="00173510">
        <w:rPr>
          <w:rFonts w:ascii="PT Sans" w:hAnsi="PT Sans"/>
        </w:rPr>
        <w:t>T</w:t>
      </w:r>
      <w:r w:rsidR="00E664C6" w:rsidRPr="00A53E49">
        <w:rPr>
          <w:rFonts w:ascii="PT Sans" w:hAnsi="PT Sans"/>
        </w:rPr>
        <w:t>ennessee Tech</w:t>
      </w:r>
      <w:r w:rsidR="00E664C6" w:rsidRPr="00173510">
        <w:rPr>
          <w:rFonts w:ascii="PT Sans" w:hAnsi="PT Sans"/>
        </w:rPr>
        <w:t xml:space="preserve"> </w:t>
      </w:r>
      <w:r w:rsidR="00E664C6" w:rsidRPr="00A53E49">
        <w:rPr>
          <w:rFonts w:ascii="PT Sans" w:hAnsi="PT Sans"/>
        </w:rPr>
        <w:t>does not have the staff or resources to</w:t>
      </w:r>
      <w:r w:rsidR="00E664C6" w:rsidRPr="00173510">
        <w:rPr>
          <w:rFonts w:ascii="PT Sans" w:hAnsi="PT Sans"/>
        </w:rPr>
        <w:t xml:space="preserve"> serve as the</w:t>
      </w:r>
      <w:r w:rsidR="00E664C6">
        <w:rPr>
          <w:rFonts w:ascii="PT Sans" w:hAnsi="PT Sans"/>
        </w:rPr>
        <w:t xml:space="preserve"> reviewing IRB or</w:t>
      </w:r>
      <w:r w:rsidR="00E664C6" w:rsidRPr="00173510">
        <w:rPr>
          <w:rFonts w:ascii="PT Sans" w:hAnsi="PT Sans"/>
        </w:rPr>
        <w:t xml:space="preserve"> IRB of </w:t>
      </w:r>
      <w:r w:rsidR="00E664C6">
        <w:rPr>
          <w:rFonts w:ascii="PT Sans" w:hAnsi="PT Sans"/>
        </w:rPr>
        <w:t>r</w:t>
      </w:r>
      <w:r w:rsidR="00E664C6" w:rsidRPr="00173510">
        <w:rPr>
          <w:rFonts w:ascii="PT Sans" w:hAnsi="PT Sans"/>
        </w:rPr>
        <w:t>ecord for</w:t>
      </w:r>
      <w:r w:rsidR="00E664C6" w:rsidRPr="00A53E49">
        <w:rPr>
          <w:rFonts w:ascii="PT Sans" w:hAnsi="PT Sans"/>
        </w:rPr>
        <w:t xml:space="preserve"> a multi-site study</w:t>
      </w:r>
      <w:r w:rsidR="00E664C6" w:rsidRPr="00173510">
        <w:rPr>
          <w:rFonts w:ascii="PT Sans" w:hAnsi="PT Sans"/>
        </w:rPr>
        <w:t>.</w:t>
      </w:r>
    </w:p>
    <w:p w14:paraId="4F49436F" w14:textId="77777777" w:rsidR="00C64929" w:rsidRPr="003E2469" w:rsidRDefault="00C64929" w:rsidP="00173510">
      <w:pPr>
        <w:spacing w:after="0" w:line="240" w:lineRule="auto"/>
        <w:rPr>
          <w:rFonts w:ascii="PT Sans" w:hAnsi="PT Sans"/>
        </w:rPr>
      </w:pPr>
    </w:p>
    <w:p w14:paraId="44E62BF0" w14:textId="77777777" w:rsidR="003E2469" w:rsidRPr="003E2469" w:rsidRDefault="003E2469" w:rsidP="003E2469">
      <w:pPr>
        <w:spacing w:after="0" w:line="240" w:lineRule="auto"/>
        <w:rPr>
          <w:rFonts w:ascii="PT Sans" w:hAnsi="PT Sans"/>
          <w:b/>
          <w:bCs/>
        </w:rPr>
      </w:pPr>
      <w:r w:rsidRPr="00173510">
        <w:rPr>
          <w:rFonts w:ascii="PT Sans" w:hAnsi="PT Sans"/>
          <w:b/>
          <w:bCs/>
        </w:rPr>
        <w:t>Ceding IRB Review to Another Institution</w:t>
      </w:r>
    </w:p>
    <w:p w14:paraId="0A7851C8" w14:textId="77777777" w:rsidR="003E2469" w:rsidRDefault="003E2469" w:rsidP="00173510">
      <w:pPr>
        <w:spacing w:after="0" w:line="240" w:lineRule="auto"/>
        <w:rPr>
          <w:rFonts w:ascii="PT Sans" w:hAnsi="PT Sans"/>
        </w:rPr>
      </w:pPr>
    </w:p>
    <w:p w14:paraId="5A8E7EAA" w14:textId="154EC8C1" w:rsidR="00C64929" w:rsidRPr="00A53E49" w:rsidRDefault="00C64929" w:rsidP="00173510">
      <w:pPr>
        <w:spacing w:after="0" w:line="240" w:lineRule="auto"/>
        <w:rPr>
          <w:rFonts w:ascii="PT Sans" w:hAnsi="PT Sans"/>
        </w:rPr>
      </w:pPr>
      <w:r w:rsidRPr="00A53E49">
        <w:rPr>
          <w:rFonts w:ascii="PT Sans" w:hAnsi="PT Sans"/>
        </w:rPr>
        <w:t xml:space="preserve">Before you can participate in a study being conducted through an external IRB of </w:t>
      </w:r>
      <w:r w:rsidR="00A53E49">
        <w:rPr>
          <w:rFonts w:ascii="PT Sans" w:hAnsi="PT Sans"/>
        </w:rPr>
        <w:t>r</w:t>
      </w:r>
      <w:r w:rsidRPr="00A53E49">
        <w:rPr>
          <w:rFonts w:ascii="PT Sans" w:hAnsi="PT Sans"/>
        </w:rPr>
        <w:t>ecord, the Tennessee Tech IRB must first review your cede review request to verify that you meet all the institutional requirements (such as CITI training) and decide whether it will agree to cede review to the outside IRB of record based on your research activities.</w:t>
      </w:r>
      <w:r w:rsidRPr="00A53E49">
        <w:rPr>
          <w:rFonts w:ascii="PT Sans" w:hAnsi="PT Sans" w:cs="Open Sans"/>
          <w:color w:val="000000"/>
        </w:rPr>
        <w:t xml:space="preserve"> </w:t>
      </w:r>
      <w:r w:rsidR="00A53E49">
        <w:rPr>
          <w:rFonts w:ascii="PT Sans" w:hAnsi="PT Sans" w:cs="Open Sans"/>
          <w:color w:val="000000"/>
        </w:rPr>
        <w:t xml:space="preserve">If Tennessee Tech agrees to cede review to another institution’s IRB, a reliance agreement (also called an IRB Authorization Agreement or IAA) will be signed by both institutions. </w:t>
      </w:r>
    </w:p>
    <w:p w14:paraId="69EC5C21" w14:textId="77777777" w:rsidR="00BD79BE" w:rsidRPr="00A53E49" w:rsidRDefault="00BD79BE" w:rsidP="00173510">
      <w:pPr>
        <w:spacing w:after="0" w:line="240" w:lineRule="auto"/>
        <w:rPr>
          <w:rFonts w:ascii="PT Sans" w:hAnsi="PT Sans"/>
        </w:rPr>
      </w:pPr>
    </w:p>
    <w:p w14:paraId="683378E9" w14:textId="63F9CCE6" w:rsidR="00BD79BE" w:rsidRPr="00A53E49" w:rsidRDefault="00BD79BE" w:rsidP="00173510">
      <w:pPr>
        <w:spacing w:after="0" w:line="240" w:lineRule="auto"/>
        <w:rPr>
          <w:rFonts w:ascii="PT Sans" w:hAnsi="PT Sans"/>
        </w:rPr>
      </w:pPr>
      <w:r w:rsidRPr="00A53E49">
        <w:rPr>
          <w:rFonts w:ascii="PT Sans" w:hAnsi="PT Sans"/>
        </w:rPr>
        <w:t>All reliance agreements are established on a case-by-case basis. Tennessee Tech does not enter into reliance agreements for the following protocols:</w:t>
      </w:r>
    </w:p>
    <w:p w14:paraId="6AD2187C" w14:textId="520BAECD" w:rsidR="00BD79BE" w:rsidRPr="00A53E49" w:rsidRDefault="00BD79BE" w:rsidP="00BD79BE">
      <w:pPr>
        <w:pStyle w:val="ListParagraph"/>
        <w:numPr>
          <w:ilvl w:val="0"/>
          <w:numId w:val="12"/>
        </w:numPr>
        <w:spacing w:after="0" w:line="240" w:lineRule="auto"/>
        <w:rPr>
          <w:rFonts w:ascii="PT Sans" w:hAnsi="PT Sans"/>
        </w:rPr>
      </w:pPr>
      <w:r w:rsidRPr="00A53E49">
        <w:rPr>
          <w:rFonts w:ascii="PT Sans" w:hAnsi="PT Sans"/>
        </w:rPr>
        <w:t>Exempt research</w:t>
      </w:r>
    </w:p>
    <w:p w14:paraId="5D692CEB" w14:textId="25B500AF" w:rsidR="00BD79BE" w:rsidRPr="00BD79BE" w:rsidRDefault="00BD79BE" w:rsidP="00BD79BE">
      <w:pPr>
        <w:numPr>
          <w:ilvl w:val="0"/>
          <w:numId w:val="13"/>
        </w:numPr>
        <w:shd w:val="clear" w:color="auto" w:fill="FFFFFF"/>
        <w:spacing w:after="0" w:line="240" w:lineRule="auto"/>
        <w:textAlignment w:val="baseline"/>
        <w:rPr>
          <w:rFonts w:ascii="PT Sans" w:eastAsia="Times New Roman" w:hAnsi="PT Sans" w:cs="Arial"/>
          <w:color w:val="333333"/>
          <w:kern w:val="0"/>
          <w14:ligatures w14:val="none"/>
        </w:rPr>
      </w:pPr>
      <w:r w:rsidRPr="00BD79BE">
        <w:rPr>
          <w:rFonts w:ascii="PT Sans" w:eastAsia="Times New Roman" w:hAnsi="PT Sans" w:cs="Arial"/>
          <w:color w:val="333333"/>
          <w:kern w:val="0"/>
          <w14:ligatures w14:val="none"/>
        </w:rPr>
        <w:t>Development Only/Just-in-time applications that lack definite plans for the involvement of human subjects at the time of protocols submission</w:t>
      </w:r>
    </w:p>
    <w:p w14:paraId="509BDB51" w14:textId="2BE7F811" w:rsidR="00BD79BE" w:rsidRPr="00A53E49" w:rsidRDefault="00BD79BE" w:rsidP="00BD79BE">
      <w:pPr>
        <w:pStyle w:val="ListParagraph"/>
        <w:numPr>
          <w:ilvl w:val="0"/>
          <w:numId w:val="12"/>
        </w:numPr>
        <w:spacing w:after="0" w:line="240" w:lineRule="auto"/>
        <w:rPr>
          <w:rFonts w:ascii="PT Sans" w:hAnsi="PT Sans"/>
        </w:rPr>
      </w:pPr>
      <w:r w:rsidRPr="00A53E49">
        <w:rPr>
          <w:rFonts w:ascii="PT Sans" w:hAnsi="PT Sans"/>
        </w:rPr>
        <w:t xml:space="preserve">Projects where Tennessee Tech researchers are not considered engaged in human </w:t>
      </w:r>
      <w:proofErr w:type="gramStart"/>
      <w:r w:rsidRPr="00A53E49">
        <w:rPr>
          <w:rFonts w:ascii="PT Sans" w:hAnsi="PT Sans"/>
        </w:rPr>
        <w:t>subjects</w:t>
      </w:r>
      <w:proofErr w:type="gramEnd"/>
      <w:r w:rsidRPr="00A53E49">
        <w:rPr>
          <w:rFonts w:ascii="PT Sans" w:hAnsi="PT Sans"/>
        </w:rPr>
        <w:t xml:space="preserve"> research</w:t>
      </w:r>
    </w:p>
    <w:p w14:paraId="4955E73C" w14:textId="77777777" w:rsidR="00C64929" w:rsidRPr="00A53E49" w:rsidRDefault="00C64929" w:rsidP="00173510">
      <w:pPr>
        <w:spacing w:after="0" w:line="240" w:lineRule="auto"/>
        <w:rPr>
          <w:rFonts w:ascii="PT Sans" w:hAnsi="PT Sans"/>
        </w:rPr>
      </w:pPr>
    </w:p>
    <w:p w14:paraId="0D740F6C" w14:textId="0649AAE9" w:rsidR="000218D4" w:rsidRDefault="000218D4" w:rsidP="00173510">
      <w:pPr>
        <w:spacing w:after="0" w:line="240" w:lineRule="auto"/>
        <w:rPr>
          <w:rFonts w:ascii="PT Sans" w:hAnsi="PT Sans"/>
        </w:rPr>
      </w:pPr>
      <w:r>
        <w:rPr>
          <w:rFonts w:ascii="PT Sans" w:hAnsi="PT Sans"/>
        </w:rPr>
        <w:t>Tennessee Tech researchers</w:t>
      </w:r>
      <w:r w:rsidRPr="000218D4">
        <w:rPr>
          <w:rFonts w:ascii="PT Sans" w:hAnsi="PT Sans"/>
        </w:rPr>
        <w:t xml:space="preserve"> must be prepared to follow the policies and procedures of the reviewing IRB. The</w:t>
      </w:r>
      <w:r w:rsidR="00BB4A84">
        <w:rPr>
          <w:rFonts w:ascii="PT Sans" w:hAnsi="PT Sans"/>
        </w:rPr>
        <w:t>y</w:t>
      </w:r>
      <w:r w:rsidRPr="000218D4">
        <w:rPr>
          <w:rFonts w:ascii="PT Sans" w:hAnsi="PT Sans"/>
        </w:rPr>
        <w:t xml:space="preserve"> </w:t>
      </w:r>
      <w:r>
        <w:rPr>
          <w:rFonts w:ascii="PT Sans" w:hAnsi="PT Sans"/>
        </w:rPr>
        <w:t>are</w:t>
      </w:r>
      <w:r w:rsidRPr="000218D4">
        <w:rPr>
          <w:rFonts w:ascii="PT Sans" w:hAnsi="PT Sans"/>
        </w:rPr>
        <w:t xml:space="preserve"> responsible for understanding the policies and procedures of the reviewing IRB and conducting the research accordingly. Specifically, it is important for </w:t>
      </w:r>
      <w:r>
        <w:rPr>
          <w:rFonts w:ascii="PT Sans" w:hAnsi="PT Sans"/>
        </w:rPr>
        <w:t>Tennessee Tech researchers</w:t>
      </w:r>
      <w:r w:rsidRPr="000218D4">
        <w:rPr>
          <w:rFonts w:ascii="PT Sans" w:hAnsi="PT Sans"/>
        </w:rPr>
        <w:t xml:space="preserve"> to understand the reviewing IRB’s expectations for reporting adverse events, deviations, noncompliance, and other problems to the reviewing IRB, as well as expectations for updating personnel and enrollment status, submitting amendments, and tracking subject enrollment and status. </w:t>
      </w:r>
    </w:p>
    <w:p w14:paraId="2CD9B9A4" w14:textId="77777777" w:rsidR="00C64929" w:rsidRPr="00A53E49" w:rsidRDefault="00C64929" w:rsidP="00173510">
      <w:pPr>
        <w:spacing w:after="0" w:line="240" w:lineRule="auto"/>
        <w:rPr>
          <w:rFonts w:ascii="PT Sans" w:hAnsi="PT Sans"/>
        </w:rPr>
      </w:pPr>
    </w:p>
    <w:p w14:paraId="3455ACC0" w14:textId="1C7C0F71" w:rsidR="00E664C6" w:rsidRPr="00E664C6" w:rsidRDefault="00BD79BE" w:rsidP="00E664C6">
      <w:pPr>
        <w:spacing w:after="0" w:line="240" w:lineRule="auto"/>
        <w:rPr>
          <w:rFonts w:ascii="PT Sans" w:hAnsi="PT Sans"/>
        </w:rPr>
      </w:pPr>
      <w:r w:rsidRPr="00A53E49">
        <w:rPr>
          <w:rFonts w:ascii="PT Sans" w:hAnsi="PT Sans"/>
        </w:rPr>
        <w:t>Below are</w:t>
      </w:r>
      <w:r w:rsidR="00173510" w:rsidRPr="00173510">
        <w:rPr>
          <w:rFonts w:ascii="PT Sans" w:hAnsi="PT Sans"/>
        </w:rPr>
        <w:t xml:space="preserve"> the steps required for T</w:t>
      </w:r>
      <w:r w:rsidRPr="00A53E49">
        <w:rPr>
          <w:rFonts w:ascii="PT Sans" w:hAnsi="PT Sans"/>
        </w:rPr>
        <w:t>ennessee Tech</w:t>
      </w:r>
      <w:r w:rsidR="00173510" w:rsidRPr="00173510">
        <w:rPr>
          <w:rFonts w:ascii="PT Sans" w:hAnsi="PT Sans"/>
        </w:rPr>
        <w:t xml:space="preserve"> </w:t>
      </w:r>
      <w:r w:rsidR="000218D4">
        <w:rPr>
          <w:rFonts w:ascii="PT Sans" w:hAnsi="PT Sans"/>
        </w:rPr>
        <w:t>researchers</w:t>
      </w:r>
      <w:r w:rsidR="00173510" w:rsidRPr="00173510">
        <w:rPr>
          <w:rFonts w:ascii="PT Sans" w:hAnsi="PT Sans"/>
        </w:rPr>
        <w:t xml:space="preserve"> to request ceding IRB review</w:t>
      </w:r>
      <w:r w:rsidRPr="00A53E49">
        <w:rPr>
          <w:rFonts w:ascii="PT Sans" w:hAnsi="PT Sans"/>
        </w:rPr>
        <w:t xml:space="preserve"> to another institution’s IRB. The time frame for the process varies</w:t>
      </w:r>
      <w:r w:rsidR="00C43532">
        <w:rPr>
          <w:rFonts w:ascii="PT Sans" w:hAnsi="PT Sans"/>
        </w:rPr>
        <w:t>,</w:t>
      </w:r>
      <w:r w:rsidRPr="00A53E49">
        <w:rPr>
          <w:rFonts w:ascii="PT Sans" w:hAnsi="PT Sans"/>
        </w:rPr>
        <w:t xml:space="preserve"> based on whether your submission packet is complete, how long it takes to coordinate the reliance agreement with the reviewing IRB, </w:t>
      </w:r>
      <w:r w:rsidR="00E664C6" w:rsidRPr="00A53E49">
        <w:rPr>
          <w:rFonts w:ascii="PT Sans" w:hAnsi="PT Sans"/>
        </w:rPr>
        <w:t>etc.</w:t>
      </w:r>
      <w:r w:rsidRPr="00A53E49">
        <w:rPr>
          <w:rFonts w:ascii="PT Sans" w:hAnsi="PT Sans"/>
        </w:rPr>
        <w:t xml:space="preserve"> </w:t>
      </w:r>
      <w:r w:rsidR="00E664C6">
        <w:rPr>
          <w:rFonts w:ascii="PT Sans" w:hAnsi="PT Sans"/>
        </w:rPr>
        <w:t>As such, p</w:t>
      </w:r>
      <w:r w:rsidR="00E664C6" w:rsidRPr="00E664C6">
        <w:rPr>
          <w:rFonts w:ascii="PT Sans" w:hAnsi="PT Sans"/>
        </w:rPr>
        <w:t>lease allow sufficient time for processing and review, as these steps involve multiple levels of coordination and compliance verification.</w:t>
      </w:r>
    </w:p>
    <w:p w14:paraId="7A01BBF7" w14:textId="77777777" w:rsidR="00173510" w:rsidRDefault="00173510" w:rsidP="00173510">
      <w:pPr>
        <w:spacing w:after="0" w:line="240" w:lineRule="auto"/>
        <w:rPr>
          <w:rFonts w:ascii="PT Sans" w:hAnsi="PT Sans"/>
        </w:rPr>
      </w:pPr>
    </w:p>
    <w:p w14:paraId="35EDCE24" w14:textId="77777777" w:rsidR="00BB4A84" w:rsidRPr="00A53E49" w:rsidRDefault="00BB4A84" w:rsidP="00173510">
      <w:pPr>
        <w:spacing w:after="0" w:line="240" w:lineRule="auto"/>
        <w:rPr>
          <w:rFonts w:ascii="PT Sans" w:hAnsi="PT Sans"/>
          <w:b/>
          <w:bCs/>
        </w:rPr>
      </w:pPr>
    </w:p>
    <w:p w14:paraId="2147589E" w14:textId="09CE94BF" w:rsidR="00173510" w:rsidRPr="00173510" w:rsidRDefault="00BD79BE" w:rsidP="00173510">
      <w:pPr>
        <w:spacing w:after="0" w:line="240" w:lineRule="auto"/>
        <w:rPr>
          <w:rFonts w:ascii="PT Sans" w:hAnsi="PT Sans"/>
          <w:b/>
          <w:bCs/>
        </w:rPr>
      </w:pPr>
      <w:r w:rsidRPr="00A53E49">
        <w:rPr>
          <w:rFonts w:ascii="PT Sans" w:hAnsi="PT Sans"/>
          <w:b/>
          <w:bCs/>
        </w:rPr>
        <w:lastRenderedPageBreak/>
        <w:t>STEP ONE: SUBMIT A</w:t>
      </w:r>
      <w:r w:rsidR="00F203FD">
        <w:rPr>
          <w:rFonts w:ascii="PT Sans" w:hAnsi="PT Sans"/>
          <w:b/>
          <w:bCs/>
        </w:rPr>
        <w:t xml:space="preserve"> </w:t>
      </w:r>
      <w:r w:rsidR="003E2469">
        <w:rPr>
          <w:rFonts w:ascii="PT Sans" w:hAnsi="PT Sans"/>
          <w:b/>
          <w:bCs/>
        </w:rPr>
        <w:t>“</w:t>
      </w:r>
      <w:r w:rsidR="00F203FD">
        <w:rPr>
          <w:rFonts w:ascii="PT Sans" w:hAnsi="PT Sans"/>
          <w:b/>
          <w:bCs/>
        </w:rPr>
        <w:t>REQUEST TO</w:t>
      </w:r>
      <w:r w:rsidRPr="00A53E49">
        <w:rPr>
          <w:rFonts w:ascii="PT Sans" w:hAnsi="PT Sans"/>
          <w:b/>
          <w:bCs/>
        </w:rPr>
        <w:t xml:space="preserve"> CEDE</w:t>
      </w:r>
      <w:r w:rsidR="00F203FD">
        <w:rPr>
          <w:rFonts w:ascii="PT Sans" w:hAnsi="PT Sans"/>
          <w:b/>
          <w:bCs/>
        </w:rPr>
        <w:t xml:space="preserve"> IRB </w:t>
      </w:r>
      <w:r w:rsidRPr="00A53E49">
        <w:rPr>
          <w:rFonts w:ascii="PT Sans" w:hAnsi="PT Sans"/>
          <w:b/>
          <w:bCs/>
        </w:rPr>
        <w:t>REVIEW</w:t>
      </w:r>
      <w:r w:rsidR="003E2469">
        <w:rPr>
          <w:rFonts w:ascii="PT Sans" w:hAnsi="PT Sans"/>
          <w:b/>
          <w:bCs/>
        </w:rPr>
        <w:t>”</w:t>
      </w:r>
      <w:r w:rsidRPr="00A53E49">
        <w:rPr>
          <w:rFonts w:ascii="PT Sans" w:hAnsi="PT Sans"/>
          <w:b/>
          <w:bCs/>
        </w:rPr>
        <w:t xml:space="preserve"> PACKET</w:t>
      </w:r>
    </w:p>
    <w:p w14:paraId="491F60E4" w14:textId="6D2C921C" w:rsidR="00173510" w:rsidRPr="00173510" w:rsidRDefault="000218D4" w:rsidP="00173510">
      <w:pPr>
        <w:spacing w:after="0" w:line="240" w:lineRule="auto"/>
        <w:rPr>
          <w:rFonts w:ascii="PT Sans" w:hAnsi="PT Sans"/>
        </w:rPr>
      </w:pPr>
      <w:r>
        <w:rPr>
          <w:rFonts w:ascii="PT Sans" w:hAnsi="PT Sans"/>
        </w:rPr>
        <w:t xml:space="preserve">The </w:t>
      </w:r>
      <w:r w:rsidR="00173510" w:rsidRPr="00A53E49">
        <w:rPr>
          <w:rFonts w:ascii="PT Sans" w:hAnsi="PT Sans"/>
        </w:rPr>
        <w:t>Tennessee Tech</w:t>
      </w:r>
      <w:r w:rsidR="00173510" w:rsidRPr="00173510">
        <w:rPr>
          <w:rFonts w:ascii="PT Sans" w:hAnsi="PT Sans"/>
        </w:rPr>
        <w:t xml:space="preserve"> </w:t>
      </w:r>
      <w:r>
        <w:rPr>
          <w:rFonts w:ascii="PT Sans" w:hAnsi="PT Sans"/>
        </w:rPr>
        <w:t>researcher</w:t>
      </w:r>
      <w:r w:rsidR="00173510" w:rsidRPr="00173510">
        <w:rPr>
          <w:rFonts w:ascii="PT Sans" w:hAnsi="PT Sans"/>
        </w:rPr>
        <w:t xml:space="preserve"> must submit a complete </w:t>
      </w:r>
      <w:hyperlink r:id="rId5" w:history="1">
        <w:r w:rsidR="00173510" w:rsidRPr="00173510">
          <w:rPr>
            <w:rStyle w:val="Hyperlink"/>
            <w:rFonts w:ascii="PT Sans" w:hAnsi="PT Sans"/>
            <w:b/>
            <w:bCs/>
          </w:rPr>
          <w:t>Request to Cede</w:t>
        </w:r>
        <w:r w:rsidR="00173510" w:rsidRPr="00173510">
          <w:rPr>
            <w:rStyle w:val="Hyperlink"/>
            <w:rFonts w:ascii="PT Sans" w:hAnsi="PT Sans"/>
            <w:b/>
            <w:bCs/>
          </w:rPr>
          <w:t xml:space="preserve"> </w:t>
        </w:r>
        <w:r w:rsidR="00173510" w:rsidRPr="00173510">
          <w:rPr>
            <w:rStyle w:val="Hyperlink"/>
            <w:rFonts w:ascii="PT Sans" w:hAnsi="PT Sans"/>
            <w:b/>
            <w:bCs/>
          </w:rPr>
          <w:t>IRB Review</w:t>
        </w:r>
      </w:hyperlink>
      <w:r w:rsidR="00173510" w:rsidRPr="00173510">
        <w:rPr>
          <w:rFonts w:ascii="PT Sans" w:hAnsi="PT Sans"/>
          <w:b/>
          <w:bCs/>
        </w:rPr>
        <w:t xml:space="preserve"> </w:t>
      </w:r>
      <w:r w:rsidR="00173510" w:rsidRPr="00173510">
        <w:rPr>
          <w:rFonts w:ascii="PT Sans" w:hAnsi="PT Sans"/>
        </w:rPr>
        <w:t>packet to the IRB Administrative Office at</w:t>
      </w:r>
      <w:r w:rsidR="00173510" w:rsidRPr="00A53E49">
        <w:rPr>
          <w:rFonts w:ascii="PT Sans" w:hAnsi="PT Sans"/>
        </w:rPr>
        <w:t xml:space="preserve"> </w:t>
      </w:r>
      <w:hyperlink r:id="rId6" w:history="1">
        <w:r w:rsidR="00173510" w:rsidRPr="00173510">
          <w:rPr>
            <w:rStyle w:val="Hyperlink"/>
            <w:rFonts w:ascii="PT Sans" w:hAnsi="PT Sans"/>
            <w:b/>
            <w:bCs/>
          </w:rPr>
          <w:t>IRB@tntech.edu</w:t>
        </w:r>
      </w:hyperlink>
      <w:r w:rsidR="00173510" w:rsidRPr="00173510">
        <w:rPr>
          <w:rFonts w:ascii="PT Sans" w:hAnsi="PT Sans"/>
        </w:rPr>
        <w:t>.</w:t>
      </w:r>
      <w:r w:rsidR="00BD79BE" w:rsidRPr="00A53E49">
        <w:rPr>
          <w:rFonts w:ascii="PT Sans" w:hAnsi="PT Sans"/>
        </w:rPr>
        <w:t xml:space="preserve"> This should only be done </w:t>
      </w:r>
      <w:r w:rsidR="00EF6892">
        <w:rPr>
          <w:rFonts w:ascii="PT Sans" w:hAnsi="PT Sans"/>
        </w:rPr>
        <w:t>after</w:t>
      </w:r>
      <w:r w:rsidR="00BD79BE" w:rsidRPr="00A53E49">
        <w:rPr>
          <w:rFonts w:ascii="PT Sans" w:hAnsi="PT Sans"/>
        </w:rPr>
        <w:t xml:space="preserve"> the research study has been approved by the reviewing IRB.</w:t>
      </w:r>
    </w:p>
    <w:p w14:paraId="61074507" w14:textId="77777777" w:rsidR="00173510" w:rsidRPr="00A53E49" w:rsidRDefault="00173510" w:rsidP="00173510">
      <w:pPr>
        <w:spacing w:after="0" w:line="240" w:lineRule="auto"/>
        <w:rPr>
          <w:rFonts w:ascii="PT Sans" w:hAnsi="PT Sans"/>
          <w:b/>
          <w:bCs/>
        </w:rPr>
      </w:pPr>
    </w:p>
    <w:p w14:paraId="431D5049" w14:textId="267CDDCE" w:rsidR="00173510" w:rsidRPr="00173510" w:rsidRDefault="00BD79BE" w:rsidP="00173510">
      <w:pPr>
        <w:spacing w:after="0" w:line="240" w:lineRule="auto"/>
        <w:rPr>
          <w:rFonts w:ascii="PT Sans" w:hAnsi="PT Sans"/>
          <w:b/>
          <w:bCs/>
        </w:rPr>
      </w:pPr>
      <w:r w:rsidRPr="00A53E49">
        <w:rPr>
          <w:rFonts w:ascii="PT Sans" w:hAnsi="PT Sans"/>
          <w:b/>
          <w:bCs/>
        </w:rPr>
        <w:t>STEP TWO: IRB ADMINISTRATIVE OFFICE INTAKE AND PROCESSING</w:t>
      </w:r>
    </w:p>
    <w:p w14:paraId="5D0022A9" w14:textId="77434207" w:rsidR="00173510" w:rsidRPr="00173510" w:rsidRDefault="00173510" w:rsidP="00173510">
      <w:pPr>
        <w:spacing w:after="0" w:line="240" w:lineRule="auto"/>
        <w:rPr>
          <w:rFonts w:ascii="PT Sans" w:hAnsi="PT Sans"/>
        </w:rPr>
      </w:pPr>
      <w:r w:rsidRPr="00173510">
        <w:rPr>
          <w:rFonts w:ascii="PT Sans" w:hAnsi="PT Sans"/>
        </w:rPr>
        <w:t xml:space="preserve">Upon receiving the cede-review request, the </w:t>
      </w:r>
      <w:r w:rsidRPr="00A53E49">
        <w:rPr>
          <w:rFonts w:ascii="PT Sans" w:hAnsi="PT Sans"/>
        </w:rPr>
        <w:t>Tennessee Tech</w:t>
      </w:r>
      <w:r w:rsidRPr="00173510">
        <w:rPr>
          <w:rFonts w:ascii="PT Sans" w:hAnsi="PT Sans"/>
        </w:rPr>
        <w:t xml:space="preserve"> IRB Administrative Office will</w:t>
      </w:r>
      <w:r w:rsidRPr="00A53E49">
        <w:rPr>
          <w:rFonts w:ascii="PT Sans" w:hAnsi="PT Sans"/>
        </w:rPr>
        <w:t xml:space="preserve"> c</w:t>
      </w:r>
      <w:r w:rsidRPr="00173510">
        <w:rPr>
          <w:rFonts w:ascii="PT Sans" w:hAnsi="PT Sans"/>
        </w:rPr>
        <w:t>heck the submission for completeness</w:t>
      </w:r>
      <w:r w:rsidRPr="00A53E49">
        <w:rPr>
          <w:rFonts w:ascii="PT Sans" w:hAnsi="PT Sans"/>
        </w:rPr>
        <w:t>. If the submission is complete, the office will f</w:t>
      </w:r>
      <w:r w:rsidRPr="00173510">
        <w:rPr>
          <w:rFonts w:ascii="PT Sans" w:hAnsi="PT Sans"/>
        </w:rPr>
        <w:t>orward the complete packet to the IRB Chair for review</w:t>
      </w:r>
      <w:r w:rsidR="00BD79BE" w:rsidRPr="00A53E49">
        <w:rPr>
          <w:rFonts w:ascii="PT Sans" w:hAnsi="PT Sans"/>
        </w:rPr>
        <w:t>.</w:t>
      </w:r>
    </w:p>
    <w:p w14:paraId="693E9ADA" w14:textId="7B5A751C" w:rsidR="00173510" w:rsidRPr="00173510" w:rsidRDefault="00173510" w:rsidP="00173510">
      <w:pPr>
        <w:spacing w:after="0" w:line="240" w:lineRule="auto"/>
        <w:rPr>
          <w:rFonts w:ascii="PT Sans" w:hAnsi="PT Sans"/>
        </w:rPr>
      </w:pPr>
    </w:p>
    <w:p w14:paraId="21C79C93" w14:textId="3EC23B98" w:rsidR="00173510" w:rsidRPr="00173510" w:rsidRDefault="00BD79BE" w:rsidP="00173510">
      <w:pPr>
        <w:spacing w:after="0" w:line="240" w:lineRule="auto"/>
        <w:rPr>
          <w:rFonts w:ascii="PT Sans" w:hAnsi="PT Sans"/>
          <w:b/>
          <w:bCs/>
        </w:rPr>
      </w:pPr>
      <w:r w:rsidRPr="00A53E49">
        <w:rPr>
          <w:rFonts w:ascii="PT Sans" w:hAnsi="PT Sans"/>
          <w:b/>
          <w:bCs/>
        </w:rPr>
        <w:t>STEP THREE: REVIEW AND DETERMINATION BY THE IRB CHAIR</w:t>
      </w:r>
    </w:p>
    <w:p w14:paraId="6AD6E329" w14:textId="11C4D195" w:rsidR="00173510" w:rsidRPr="00173510" w:rsidRDefault="00173510" w:rsidP="00173510">
      <w:pPr>
        <w:spacing w:after="0" w:line="240" w:lineRule="auto"/>
        <w:rPr>
          <w:rFonts w:ascii="PT Sans" w:hAnsi="PT Sans"/>
        </w:rPr>
      </w:pPr>
      <w:r w:rsidRPr="00173510">
        <w:rPr>
          <w:rFonts w:ascii="PT Sans" w:hAnsi="PT Sans"/>
        </w:rPr>
        <w:t>The IRB Chair will evaluate the request and determine</w:t>
      </w:r>
      <w:r w:rsidRPr="00A53E49">
        <w:rPr>
          <w:rFonts w:ascii="PT Sans" w:hAnsi="PT Sans"/>
        </w:rPr>
        <w:t xml:space="preserve"> w</w:t>
      </w:r>
      <w:r w:rsidRPr="00173510">
        <w:rPr>
          <w:rFonts w:ascii="PT Sans" w:hAnsi="PT Sans"/>
        </w:rPr>
        <w:t>hether T</w:t>
      </w:r>
      <w:r w:rsidR="003763AF">
        <w:rPr>
          <w:rFonts w:ascii="PT Sans" w:hAnsi="PT Sans"/>
        </w:rPr>
        <w:t>ennessee Tech</w:t>
      </w:r>
      <w:r w:rsidRPr="00173510">
        <w:rPr>
          <w:rFonts w:ascii="PT Sans" w:hAnsi="PT Sans"/>
        </w:rPr>
        <w:t xml:space="preserve"> is Engaged in Human Subjects Research</w:t>
      </w:r>
      <w:r w:rsidRPr="00A53E49">
        <w:rPr>
          <w:rFonts w:ascii="PT Sans" w:hAnsi="PT Sans"/>
        </w:rPr>
        <w:t>.</w:t>
      </w:r>
    </w:p>
    <w:p w14:paraId="50D58C5D" w14:textId="7281A7A4" w:rsidR="00173510" w:rsidRPr="00173510" w:rsidRDefault="00173510" w:rsidP="00173510">
      <w:pPr>
        <w:numPr>
          <w:ilvl w:val="0"/>
          <w:numId w:val="7"/>
        </w:numPr>
        <w:spacing w:after="0" w:line="240" w:lineRule="auto"/>
        <w:rPr>
          <w:rFonts w:ascii="PT Sans" w:hAnsi="PT Sans"/>
        </w:rPr>
      </w:pPr>
      <w:r w:rsidRPr="00173510">
        <w:rPr>
          <w:rFonts w:ascii="PT Sans" w:hAnsi="PT Sans"/>
        </w:rPr>
        <w:t xml:space="preserve">If </w:t>
      </w:r>
      <w:r w:rsidR="003763AF" w:rsidRPr="00173510">
        <w:rPr>
          <w:rFonts w:ascii="PT Sans" w:hAnsi="PT Sans"/>
        </w:rPr>
        <w:t>T</w:t>
      </w:r>
      <w:r w:rsidR="003763AF">
        <w:rPr>
          <w:rFonts w:ascii="PT Sans" w:hAnsi="PT Sans"/>
        </w:rPr>
        <w:t>ennessee Tech</w:t>
      </w:r>
      <w:r w:rsidRPr="00173510">
        <w:rPr>
          <w:rFonts w:ascii="PT Sans" w:hAnsi="PT Sans"/>
        </w:rPr>
        <w:t xml:space="preserve"> is not engaged, no reliance agreement may be required.</w:t>
      </w:r>
      <w:r w:rsidRPr="00173510">
        <w:rPr>
          <w:rFonts w:ascii="PT Sans" w:hAnsi="PT Sans"/>
        </w:rPr>
        <w:br/>
        <w:t xml:space="preserve">The faculty member will receive a </w:t>
      </w:r>
      <w:r w:rsidRPr="00173510">
        <w:rPr>
          <w:rFonts w:ascii="PT Sans" w:hAnsi="PT Sans"/>
          <w:b/>
          <w:bCs/>
        </w:rPr>
        <w:t>Non-Engagement Determination Email</w:t>
      </w:r>
      <w:r w:rsidRPr="00173510">
        <w:rPr>
          <w:rFonts w:ascii="PT Sans" w:hAnsi="PT Sans"/>
        </w:rPr>
        <w:t>.</w:t>
      </w:r>
    </w:p>
    <w:p w14:paraId="08276CEA" w14:textId="407041CE" w:rsidR="00173510" w:rsidRPr="00A53E49" w:rsidRDefault="00173510" w:rsidP="00173510">
      <w:pPr>
        <w:numPr>
          <w:ilvl w:val="0"/>
          <w:numId w:val="7"/>
        </w:numPr>
        <w:spacing w:after="0" w:line="240" w:lineRule="auto"/>
        <w:rPr>
          <w:rFonts w:ascii="PT Sans" w:hAnsi="PT Sans"/>
        </w:rPr>
      </w:pPr>
      <w:r w:rsidRPr="00173510">
        <w:rPr>
          <w:rFonts w:ascii="PT Sans" w:hAnsi="PT Sans"/>
        </w:rPr>
        <w:t xml:space="preserve">If </w:t>
      </w:r>
      <w:r w:rsidR="003763AF" w:rsidRPr="00173510">
        <w:rPr>
          <w:rFonts w:ascii="PT Sans" w:hAnsi="PT Sans"/>
        </w:rPr>
        <w:t>T</w:t>
      </w:r>
      <w:r w:rsidR="003763AF">
        <w:rPr>
          <w:rFonts w:ascii="PT Sans" w:hAnsi="PT Sans"/>
        </w:rPr>
        <w:t>ennessee Tech</w:t>
      </w:r>
      <w:r w:rsidRPr="00173510">
        <w:rPr>
          <w:rFonts w:ascii="PT Sans" w:hAnsi="PT Sans"/>
        </w:rPr>
        <w:t xml:space="preserve"> is engaged, the IRB Chair will determine whether ceding review is appropriate.</w:t>
      </w:r>
    </w:p>
    <w:p w14:paraId="2470E807" w14:textId="3437965B" w:rsidR="00173510" w:rsidRPr="00173510" w:rsidRDefault="00173510" w:rsidP="00173510">
      <w:pPr>
        <w:spacing w:after="0" w:line="240" w:lineRule="auto"/>
        <w:rPr>
          <w:rFonts w:ascii="PT Sans" w:hAnsi="PT Sans"/>
        </w:rPr>
      </w:pPr>
    </w:p>
    <w:p w14:paraId="1A8223AB" w14:textId="6FD3B9B1" w:rsidR="00173510" w:rsidRPr="00173510" w:rsidRDefault="00BD79BE" w:rsidP="00173510">
      <w:pPr>
        <w:spacing w:after="0" w:line="240" w:lineRule="auto"/>
        <w:rPr>
          <w:rFonts w:ascii="PT Sans" w:hAnsi="PT Sans"/>
          <w:b/>
          <w:bCs/>
        </w:rPr>
      </w:pPr>
      <w:r w:rsidRPr="00A53E49">
        <w:rPr>
          <w:rFonts w:ascii="PT Sans" w:hAnsi="PT Sans"/>
          <w:b/>
          <w:bCs/>
        </w:rPr>
        <w:t>STEP FOUR: RELIANCE AGREEMENT</w:t>
      </w:r>
    </w:p>
    <w:p w14:paraId="5346EEB8" w14:textId="1778F697" w:rsidR="00173510" w:rsidRPr="00A53E49" w:rsidRDefault="00173510" w:rsidP="00173510">
      <w:pPr>
        <w:spacing w:after="0" w:line="240" w:lineRule="auto"/>
        <w:rPr>
          <w:rFonts w:ascii="PT Sans" w:hAnsi="PT Sans"/>
        </w:rPr>
      </w:pPr>
      <w:r w:rsidRPr="00173510">
        <w:rPr>
          <w:rFonts w:ascii="PT Sans" w:hAnsi="PT Sans"/>
        </w:rPr>
        <w:t xml:space="preserve">If </w:t>
      </w:r>
      <w:r w:rsidRPr="00A53E49">
        <w:rPr>
          <w:rFonts w:ascii="PT Sans" w:hAnsi="PT Sans"/>
        </w:rPr>
        <w:t>Tennessee Tech</w:t>
      </w:r>
      <w:r w:rsidRPr="00173510">
        <w:rPr>
          <w:rFonts w:ascii="PT Sans" w:hAnsi="PT Sans"/>
        </w:rPr>
        <w:t xml:space="preserve"> is engaged and ceding review</w:t>
      </w:r>
      <w:r w:rsidRPr="00A53E49">
        <w:rPr>
          <w:rFonts w:ascii="PT Sans" w:hAnsi="PT Sans"/>
        </w:rPr>
        <w:t xml:space="preserve"> request</w:t>
      </w:r>
      <w:r w:rsidRPr="00173510">
        <w:rPr>
          <w:rFonts w:ascii="PT Sans" w:hAnsi="PT Sans"/>
        </w:rPr>
        <w:t xml:space="preserve"> is approved, the IRB Administrative Office will coordinate the </w:t>
      </w:r>
      <w:r w:rsidR="00BD79BE" w:rsidRPr="00A53E49">
        <w:rPr>
          <w:rFonts w:ascii="PT Sans" w:hAnsi="PT Sans"/>
        </w:rPr>
        <w:t xml:space="preserve">execution of a </w:t>
      </w:r>
      <w:r w:rsidRPr="00173510">
        <w:rPr>
          <w:rFonts w:ascii="PT Sans" w:hAnsi="PT Sans"/>
        </w:rPr>
        <w:t xml:space="preserve">reliance agreement </w:t>
      </w:r>
      <w:r w:rsidRPr="00A53E49">
        <w:rPr>
          <w:rFonts w:ascii="PT Sans" w:hAnsi="PT Sans"/>
        </w:rPr>
        <w:t>with the reviewing IRB. Once</w:t>
      </w:r>
      <w:r w:rsidRPr="00173510">
        <w:rPr>
          <w:rFonts w:ascii="PT Sans" w:hAnsi="PT Sans"/>
        </w:rPr>
        <w:t xml:space="preserve"> the reliance agreement is fully executed, the </w:t>
      </w:r>
      <w:r w:rsidRPr="00A53E49">
        <w:rPr>
          <w:rFonts w:ascii="PT Sans" w:hAnsi="PT Sans"/>
        </w:rPr>
        <w:t>Tennessee Tech</w:t>
      </w:r>
      <w:r w:rsidRPr="00173510">
        <w:rPr>
          <w:rFonts w:ascii="PT Sans" w:hAnsi="PT Sans"/>
        </w:rPr>
        <w:t xml:space="preserve"> faculty member will receive an official </w:t>
      </w:r>
      <w:r w:rsidRPr="00173510">
        <w:rPr>
          <w:rFonts w:ascii="PT Sans" w:hAnsi="PT Sans"/>
          <w:b/>
          <w:bCs/>
        </w:rPr>
        <w:t>IRB Reliance Authorization Notice</w:t>
      </w:r>
      <w:r w:rsidRPr="00173510">
        <w:rPr>
          <w:rFonts w:ascii="PT Sans" w:hAnsi="PT Sans"/>
        </w:rPr>
        <w:t xml:space="preserve"> </w:t>
      </w:r>
      <w:r w:rsidRPr="00A53E49">
        <w:rPr>
          <w:rFonts w:ascii="PT Sans" w:hAnsi="PT Sans"/>
        </w:rPr>
        <w:t xml:space="preserve">via email </w:t>
      </w:r>
      <w:r w:rsidRPr="00173510">
        <w:rPr>
          <w:rFonts w:ascii="PT Sans" w:hAnsi="PT Sans"/>
        </w:rPr>
        <w:t>confirming</w:t>
      </w:r>
      <w:r w:rsidR="00BD79BE" w:rsidRPr="00A53E49">
        <w:rPr>
          <w:rFonts w:ascii="PT Sans" w:hAnsi="PT Sans"/>
        </w:rPr>
        <w:t xml:space="preserve"> that</w:t>
      </w:r>
      <w:r w:rsidRPr="00A53E49">
        <w:rPr>
          <w:rFonts w:ascii="PT Sans" w:hAnsi="PT Sans"/>
        </w:rPr>
        <w:t>:</w:t>
      </w:r>
    </w:p>
    <w:p w14:paraId="37DBD675" w14:textId="77777777" w:rsidR="00173510" w:rsidRPr="00A53E49" w:rsidRDefault="00173510" w:rsidP="00173510">
      <w:pPr>
        <w:pStyle w:val="ListParagraph"/>
        <w:numPr>
          <w:ilvl w:val="0"/>
          <w:numId w:val="11"/>
        </w:numPr>
        <w:spacing w:after="0" w:line="240" w:lineRule="auto"/>
        <w:rPr>
          <w:rFonts w:ascii="PT Sans" w:hAnsi="PT Sans"/>
        </w:rPr>
      </w:pPr>
      <w:r w:rsidRPr="00A53E49">
        <w:rPr>
          <w:rFonts w:ascii="PT Sans" w:hAnsi="PT Sans"/>
        </w:rPr>
        <w:t>Tennessee Tech will rely on the reviewing IRB, and</w:t>
      </w:r>
    </w:p>
    <w:p w14:paraId="335D4DC2" w14:textId="1698AB5E" w:rsidR="00173510" w:rsidRPr="00A53E49" w:rsidRDefault="00173510" w:rsidP="00173510">
      <w:pPr>
        <w:pStyle w:val="ListParagraph"/>
        <w:numPr>
          <w:ilvl w:val="0"/>
          <w:numId w:val="11"/>
        </w:numPr>
        <w:spacing w:after="0" w:line="240" w:lineRule="auto"/>
        <w:rPr>
          <w:rFonts w:ascii="PT Sans" w:hAnsi="PT Sans"/>
        </w:rPr>
      </w:pPr>
      <w:r w:rsidRPr="00A53E49">
        <w:rPr>
          <w:rFonts w:ascii="PT Sans" w:hAnsi="PT Sans"/>
        </w:rPr>
        <w:t xml:space="preserve">The Tennessee Tech faculty member may begin human </w:t>
      </w:r>
      <w:proofErr w:type="gramStart"/>
      <w:r w:rsidRPr="00A53E49">
        <w:rPr>
          <w:rFonts w:ascii="PT Sans" w:hAnsi="PT Sans"/>
        </w:rPr>
        <w:t>subjects</w:t>
      </w:r>
      <w:proofErr w:type="gramEnd"/>
      <w:r w:rsidRPr="00A53E49">
        <w:rPr>
          <w:rFonts w:ascii="PT Sans" w:hAnsi="PT Sans"/>
        </w:rPr>
        <w:t xml:space="preserve"> research</w:t>
      </w:r>
      <w:r w:rsidR="00BD79BE" w:rsidRPr="00A53E49">
        <w:rPr>
          <w:rFonts w:ascii="PT Sans" w:hAnsi="PT Sans"/>
        </w:rPr>
        <w:t>.</w:t>
      </w:r>
    </w:p>
    <w:p w14:paraId="12EDE564" w14:textId="77777777" w:rsidR="00173510" w:rsidRPr="00A53E49" w:rsidRDefault="00173510" w:rsidP="00173510">
      <w:pPr>
        <w:spacing w:after="0" w:line="240" w:lineRule="auto"/>
        <w:rPr>
          <w:rFonts w:ascii="PT Sans" w:hAnsi="PT Sans"/>
        </w:rPr>
      </w:pPr>
    </w:p>
    <w:p w14:paraId="65750A7B" w14:textId="77777777" w:rsidR="00173510" w:rsidRPr="00A53E49" w:rsidRDefault="00173510" w:rsidP="00173510">
      <w:pPr>
        <w:spacing w:after="0" w:line="240" w:lineRule="auto"/>
        <w:rPr>
          <w:rFonts w:ascii="PT Sans" w:hAnsi="PT Sans"/>
        </w:rPr>
      </w:pPr>
    </w:p>
    <w:p w14:paraId="1D7CD00A" w14:textId="77777777" w:rsidR="00173510" w:rsidRPr="00173510" w:rsidRDefault="00173510" w:rsidP="00173510">
      <w:pPr>
        <w:spacing w:after="0" w:line="240" w:lineRule="auto"/>
        <w:rPr>
          <w:rFonts w:ascii="PT Sans" w:hAnsi="PT Sans"/>
          <w:b/>
          <w:bCs/>
        </w:rPr>
      </w:pPr>
      <w:r w:rsidRPr="00173510">
        <w:rPr>
          <w:rFonts w:ascii="PT Sans" w:hAnsi="PT Sans"/>
          <w:b/>
          <w:bCs/>
        </w:rPr>
        <w:t>Questions?</w:t>
      </w:r>
    </w:p>
    <w:p w14:paraId="5845CAD3" w14:textId="267BF187" w:rsidR="00173510" w:rsidRPr="00173510" w:rsidRDefault="00E664C6" w:rsidP="00173510">
      <w:pPr>
        <w:spacing w:after="0" w:line="240" w:lineRule="auto"/>
        <w:rPr>
          <w:rFonts w:ascii="PT Sans" w:hAnsi="PT Sans"/>
        </w:rPr>
      </w:pPr>
      <w:r>
        <w:rPr>
          <w:rFonts w:ascii="PT Sans" w:hAnsi="PT Sans"/>
        </w:rPr>
        <w:t>Please c</w:t>
      </w:r>
      <w:r w:rsidR="00173510" w:rsidRPr="00173510">
        <w:rPr>
          <w:rFonts w:ascii="PT Sans" w:hAnsi="PT Sans"/>
        </w:rPr>
        <w:t>ontact the IRB Administrative Office</w:t>
      </w:r>
      <w:r w:rsidR="00173510" w:rsidRPr="00A53E49">
        <w:rPr>
          <w:rFonts w:ascii="PT Sans" w:hAnsi="PT Sans"/>
        </w:rPr>
        <w:t xml:space="preserve"> at </w:t>
      </w:r>
      <w:hyperlink r:id="rId7" w:history="1">
        <w:r w:rsidR="00173510" w:rsidRPr="00173510">
          <w:rPr>
            <w:rStyle w:val="Hyperlink"/>
            <w:rFonts w:ascii="PT Sans" w:hAnsi="PT Sans"/>
            <w:b/>
            <w:bCs/>
          </w:rPr>
          <w:t>IRB@tntech.edu</w:t>
        </w:r>
      </w:hyperlink>
      <w:r w:rsidR="00173510" w:rsidRPr="00A53E49">
        <w:rPr>
          <w:rFonts w:ascii="PT Sans" w:hAnsi="PT Sans"/>
          <w:b/>
          <w:bCs/>
        </w:rPr>
        <w:t>.</w:t>
      </w:r>
    </w:p>
    <w:p w14:paraId="71F6704A" w14:textId="77777777" w:rsidR="00822F3A" w:rsidRPr="00A53E49" w:rsidRDefault="00822F3A" w:rsidP="00173510">
      <w:pPr>
        <w:spacing w:after="0" w:line="240" w:lineRule="auto"/>
        <w:rPr>
          <w:rFonts w:ascii="PT Sans" w:hAnsi="PT Sans"/>
        </w:rPr>
      </w:pPr>
    </w:p>
    <w:sectPr w:rsidR="00822F3A" w:rsidRPr="00A53E49" w:rsidSect="00E664C6">
      <w:pgSz w:w="12240" w:h="15840"/>
      <w:pgMar w:top="135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panose1 w:val="020B0503020203020204"/>
    <w:charset w:val="00"/>
    <w:family w:val="swiss"/>
    <w:pitch w:val="variable"/>
    <w:sig w:usb0="A00002E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348"/>
    <w:multiLevelType w:val="multilevel"/>
    <w:tmpl w:val="A736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A5479"/>
    <w:multiLevelType w:val="multilevel"/>
    <w:tmpl w:val="B92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E51CE"/>
    <w:multiLevelType w:val="multilevel"/>
    <w:tmpl w:val="1FC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905D2"/>
    <w:multiLevelType w:val="multilevel"/>
    <w:tmpl w:val="EBEC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31AC9"/>
    <w:multiLevelType w:val="multilevel"/>
    <w:tmpl w:val="7F1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16456"/>
    <w:multiLevelType w:val="multilevel"/>
    <w:tmpl w:val="0A92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4394D"/>
    <w:multiLevelType w:val="multilevel"/>
    <w:tmpl w:val="EF727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3627D"/>
    <w:multiLevelType w:val="multilevel"/>
    <w:tmpl w:val="5DC2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D366B"/>
    <w:multiLevelType w:val="multilevel"/>
    <w:tmpl w:val="DCA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A72A3"/>
    <w:multiLevelType w:val="multilevel"/>
    <w:tmpl w:val="6AA0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923AF"/>
    <w:multiLevelType w:val="multilevel"/>
    <w:tmpl w:val="5CC46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11FDA"/>
    <w:multiLevelType w:val="hybridMultilevel"/>
    <w:tmpl w:val="A97A29B6"/>
    <w:lvl w:ilvl="0" w:tplc="13CAA1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002C6"/>
    <w:multiLevelType w:val="multilevel"/>
    <w:tmpl w:val="0742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897196">
    <w:abstractNumId w:val="2"/>
  </w:num>
  <w:num w:numId="2" w16cid:durableId="252318594">
    <w:abstractNumId w:val="3"/>
  </w:num>
  <w:num w:numId="3" w16cid:durableId="1410039524">
    <w:abstractNumId w:val="0"/>
  </w:num>
  <w:num w:numId="4" w16cid:durableId="527261576">
    <w:abstractNumId w:val="8"/>
  </w:num>
  <w:num w:numId="5" w16cid:durableId="1559627834">
    <w:abstractNumId w:val="4"/>
  </w:num>
  <w:num w:numId="6" w16cid:durableId="1656643205">
    <w:abstractNumId w:val="7"/>
  </w:num>
  <w:num w:numId="7" w16cid:durableId="1058742170">
    <w:abstractNumId w:val="10"/>
  </w:num>
  <w:num w:numId="8" w16cid:durableId="653489065">
    <w:abstractNumId w:val="1"/>
  </w:num>
  <w:num w:numId="9" w16cid:durableId="1389383204">
    <w:abstractNumId w:val="9"/>
  </w:num>
  <w:num w:numId="10" w16cid:durableId="678234363">
    <w:abstractNumId w:val="12"/>
  </w:num>
  <w:num w:numId="11" w16cid:durableId="132138957">
    <w:abstractNumId w:val="6"/>
  </w:num>
  <w:num w:numId="12" w16cid:durableId="1692413034">
    <w:abstractNumId w:val="11"/>
  </w:num>
  <w:num w:numId="13" w16cid:durableId="1566799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10"/>
    <w:rsid w:val="0000563D"/>
    <w:rsid w:val="000218D4"/>
    <w:rsid w:val="00133362"/>
    <w:rsid w:val="00173510"/>
    <w:rsid w:val="001F490D"/>
    <w:rsid w:val="00280518"/>
    <w:rsid w:val="002C31DC"/>
    <w:rsid w:val="00346DD5"/>
    <w:rsid w:val="00355BBE"/>
    <w:rsid w:val="003763AF"/>
    <w:rsid w:val="003E2469"/>
    <w:rsid w:val="0052151F"/>
    <w:rsid w:val="007B28A4"/>
    <w:rsid w:val="00800C4D"/>
    <w:rsid w:val="00822F3A"/>
    <w:rsid w:val="0084652F"/>
    <w:rsid w:val="0098062D"/>
    <w:rsid w:val="00A53E49"/>
    <w:rsid w:val="00BB4A84"/>
    <w:rsid w:val="00BC4EF1"/>
    <w:rsid w:val="00BD79BE"/>
    <w:rsid w:val="00C15394"/>
    <w:rsid w:val="00C43532"/>
    <w:rsid w:val="00C64929"/>
    <w:rsid w:val="00C836D8"/>
    <w:rsid w:val="00D20083"/>
    <w:rsid w:val="00D47EA1"/>
    <w:rsid w:val="00E5390E"/>
    <w:rsid w:val="00E664C6"/>
    <w:rsid w:val="00E66756"/>
    <w:rsid w:val="00ED7BAB"/>
    <w:rsid w:val="00EF010E"/>
    <w:rsid w:val="00EF6892"/>
    <w:rsid w:val="00F203FD"/>
    <w:rsid w:val="00F3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CC32"/>
  <w15:chartTrackingRefBased/>
  <w15:docId w15:val="{1A0FDA70-B65D-4132-83E4-762E61EC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510"/>
    <w:rPr>
      <w:rFonts w:eastAsiaTheme="majorEastAsia" w:cstheme="majorBidi"/>
      <w:color w:val="272727" w:themeColor="text1" w:themeTint="D8"/>
    </w:rPr>
  </w:style>
  <w:style w:type="paragraph" w:styleId="Title">
    <w:name w:val="Title"/>
    <w:basedOn w:val="Normal"/>
    <w:next w:val="Normal"/>
    <w:link w:val="TitleChar"/>
    <w:uiPriority w:val="10"/>
    <w:qFormat/>
    <w:rsid w:val="00173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510"/>
    <w:pPr>
      <w:spacing w:before="160"/>
      <w:jc w:val="center"/>
    </w:pPr>
    <w:rPr>
      <w:i/>
      <w:iCs/>
      <w:color w:val="404040" w:themeColor="text1" w:themeTint="BF"/>
    </w:rPr>
  </w:style>
  <w:style w:type="character" w:customStyle="1" w:styleId="QuoteChar">
    <w:name w:val="Quote Char"/>
    <w:basedOn w:val="DefaultParagraphFont"/>
    <w:link w:val="Quote"/>
    <w:uiPriority w:val="29"/>
    <w:rsid w:val="00173510"/>
    <w:rPr>
      <w:i/>
      <w:iCs/>
      <w:color w:val="404040" w:themeColor="text1" w:themeTint="BF"/>
    </w:rPr>
  </w:style>
  <w:style w:type="paragraph" w:styleId="ListParagraph">
    <w:name w:val="List Paragraph"/>
    <w:basedOn w:val="Normal"/>
    <w:uiPriority w:val="34"/>
    <w:qFormat/>
    <w:rsid w:val="00173510"/>
    <w:pPr>
      <w:ind w:left="720"/>
      <w:contextualSpacing/>
    </w:pPr>
  </w:style>
  <w:style w:type="character" w:styleId="IntenseEmphasis">
    <w:name w:val="Intense Emphasis"/>
    <w:basedOn w:val="DefaultParagraphFont"/>
    <w:uiPriority w:val="21"/>
    <w:qFormat/>
    <w:rsid w:val="00173510"/>
    <w:rPr>
      <w:i/>
      <w:iCs/>
      <w:color w:val="0F4761" w:themeColor="accent1" w:themeShade="BF"/>
    </w:rPr>
  </w:style>
  <w:style w:type="paragraph" w:styleId="IntenseQuote">
    <w:name w:val="Intense Quote"/>
    <w:basedOn w:val="Normal"/>
    <w:next w:val="Normal"/>
    <w:link w:val="IntenseQuoteChar"/>
    <w:uiPriority w:val="30"/>
    <w:qFormat/>
    <w:rsid w:val="00173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510"/>
    <w:rPr>
      <w:i/>
      <w:iCs/>
      <w:color w:val="0F4761" w:themeColor="accent1" w:themeShade="BF"/>
    </w:rPr>
  </w:style>
  <w:style w:type="character" w:styleId="IntenseReference">
    <w:name w:val="Intense Reference"/>
    <w:basedOn w:val="DefaultParagraphFont"/>
    <w:uiPriority w:val="32"/>
    <w:qFormat/>
    <w:rsid w:val="00173510"/>
    <w:rPr>
      <w:b/>
      <w:bCs/>
      <w:smallCaps/>
      <w:color w:val="0F4761" w:themeColor="accent1" w:themeShade="BF"/>
      <w:spacing w:val="5"/>
    </w:rPr>
  </w:style>
  <w:style w:type="character" w:styleId="Hyperlink">
    <w:name w:val="Hyperlink"/>
    <w:basedOn w:val="DefaultParagraphFont"/>
    <w:uiPriority w:val="99"/>
    <w:unhideWhenUsed/>
    <w:rsid w:val="00173510"/>
    <w:rPr>
      <w:color w:val="467886" w:themeColor="hyperlink"/>
      <w:u w:val="single"/>
    </w:rPr>
  </w:style>
  <w:style w:type="character" w:styleId="UnresolvedMention">
    <w:name w:val="Unresolved Mention"/>
    <w:basedOn w:val="DefaultParagraphFont"/>
    <w:uiPriority w:val="99"/>
    <w:semiHidden/>
    <w:unhideWhenUsed/>
    <w:rsid w:val="00173510"/>
    <w:rPr>
      <w:color w:val="605E5C"/>
      <w:shd w:val="clear" w:color="auto" w:fill="E1DFDD"/>
    </w:rPr>
  </w:style>
  <w:style w:type="character" w:styleId="FollowedHyperlink">
    <w:name w:val="FollowedHyperlink"/>
    <w:basedOn w:val="DefaultParagraphFont"/>
    <w:uiPriority w:val="99"/>
    <w:semiHidden/>
    <w:unhideWhenUsed/>
    <w:rsid w:val="00C153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9485">
      <w:bodyDiv w:val="1"/>
      <w:marLeft w:val="0"/>
      <w:marRight w:val="0"/>
      <w:marTop w:val="0"/>
      <w:marBottom w:val="0"/>
      <w:divBdr>
        <w:top w:val="none" w:sz="0" w:space="0" w:color="auto"/>
        <w:left w:val="none" w:sz="0" w:space="0" w:color="auto"/>
        <w:bottom w:val="none" w:sz="0" w:space="0" w:color="auto"/>
        <w:right w:val="none" w:sz="0" w:space="0" w:color="auto"/>
      </w:divBdr>
    </w:div>
    <w:div w:id="593436550">
      <w:bodyDiv w:val="1"/>
      <w:marLeft w:val="0"/>
      <w:marRight w:val="0"/>
      <w:marTop w:val="0"/>
      <w:marBottom w:val="0"/>
      <w:divBdr>
        <w:top w:val="none" w:sz="0" w:space="0" w:color="auto"/>
        <w:left w:val="none" w:sz="0" w:space="0" w:color="auto"/>
        <w:bottom w:val="none" w:sz="0" w:space="0" w:color="auto"/>
        <w:right w:val="none" w:sz="0" w:space="0" w:color="auto"/>
      </w:divBdr>
    </w:div>
    <w:div w:id="638729718">
      <w:bodyDiv w:val="1"/>
      <w:marLeft w:val="0"/>
      <w:marRight w:val="0"/>
      <w:marTop w:val="0"/>
      <w:marBottom w:val="0"/>
      <w:divBdr>
        <w:top w:val="none" w:sz="0" w:space="0" w:color="auto"/>
        <w:left w:val="none" w:sz="0" w:space="0" w:color="auto"/>
        <w:bottom w:val="none" w:sz="0" w:space="0" w:color="auto"/>
        <w:right w:val="none" w:sz="0" w:space="0" w:color="auto"/>
      </w:divBdr>
    </w:div>
    <w:div w:id="954293227">
      <w:bodyDiv w:val="1"/>
      <w:marLeft w:val="0"/>
      <w:marRight w:val="0"/>
      <w:marTop w:val="0"/>
      <w:marBottom w:val="0"/>
      <w:divBdr>
        <w:top w:val="none" w:sz="0" w:space="0" w:color="auto"/>
        <w:left w:val="none" w:sz="0" w:space="0" w:color="auto"/>
        <w:bottom w:val="none" w:sz="0" w:space="0" w:color="auto"/>
        <w:right w:val="none" w:sz="0" w:space="0" w:color="auto"/>
      </w:divBdr>
    </w:div>
    <w:div w:id="1150364784">
      <w:bodyDiv w:val="1"/>
      <w:marLeft w:val="0"/>
      <w:marRight w:val="0"/>
      <w:marTop w:val="0"/>
      <w:marBottom w:val="0"/>
      <w:divBdr>
        <w:top w:val="none" w:sz="0" w:space="0" w:color="auto"/>
        <w:left w:val="none" w:sz="0" w:space="0" w:color="auto"/>
        <w:bottom w:val="none" w:sz="0" w:space="0" w:color="auto"/>
        <w:right w:val="none" w:sz="0" w:space="0" w:color="auto"/>
      </w:divBdr>
    </w:div>
    <w:div w:id="1417944601">
      <w:bodyDiv w:val="1"/>
      <w:marLeft w:val="0"/>
      <w:marRight w:val="0"/>
      <w:marTop w:val="0"/>
      <w:marBottom w:val="0"/>
      <w:divBdr>
        <w:top w:val="none" w:sz="0" w:space="0" w:color="auto"/>
        <w:left w:val="none" w:sz="0" w:space="0" w:color="auto"/>
        <w:bottom w:val="none" w:sz="0" w:space="0" w:color="auto"/>
        <w:right w:val="none" w:sz="0" w:space="0" w:color="auto"/>
      </w:divBdr>
    </w:div>
    <w:div w:id="1678657827">
      <w:bodyDiv w:val="1"/>
      <w:marLeft w:val="0"/>
      <w:marRight w:val="0"/>
      <w:marTop w:val="0"/>
      <w:marBottom w:val="0"/>
      <w:divBdr>
        <w:top w:val="none" w:sz="0" w:space="0" w:color="auto"/>
        <w:left w:val="none" w:sz="0" w:space="0" w:color="auto"/>
        <w:bottom w:val="none" w:sz="0" w:space="0" w:color="auto"/>
        <w:right w:val="none" w:sz="0" w:space="0" w:color="auto"/>
      </w:divBdr>
    </w:div>
    <w:div w:id="18084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tn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B@tntech.edu" TargetMode="External"/><Relationship Id="rId5" Type="http://schemas.openxmlformats.org/officeDocument/2006/relationships/hyperlink" Target="https://www.tntech.edu/research/files/irb_forms_ss/Request_to_Cede_IRB_Review_form_Nov25.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2</Pages>
  <Words>652</Words>
  <Characters>3720</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 Charmian</dc:creator>
  <cp:keywords/>
  <dc:description/>
  <cp:lastModifiedBy>Kiger, Kelly</cp:lastModifiedBy>
  <cp:revision>19</cp:revision>
  <dcterms:created xsi:type="dcterms:W3CDTF">2025-11-19T21:00:00Z</dcterms:created>
  <dcterms:modified xsi:type="dcterms:W3CDTF">2025-11-20T22:15:00Z</dcterms:modified>
</cp:coreProperties>
</file>