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63" w:rsidRDefault="00263563" w:rsidP="0026356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Office of Grant Accounting</w:t>
      </w:r>
    </w:p>
    <w:p w:rsidR="00263563" w:rsidRDefault="00263563" w:rsidP="0026356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Tennessee Tech University</w:t>
      </w:r>
    </w:p>
    <w:p w:rsidR="00263563" w:rsidRDefault="00263563" w:rsidP="0026356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Desk Procedure</w:t>
      </w:r>
    </w:p>
    <w:p w:rsidR="00263563" w:rsidRDefault="00263563" w:rsidP="002635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3563" w:rsidRDefault="00263563" w:rsidP="002635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DEFINITION AND PURPOSE OF </w:t>
      </w:r>
      <w:r w:rsidR="00782CF0">
        <w:rPr>
          <w:rFonts w:ascii="Arial" w:hAnsi="Arial" w:cs="Arial"/>
          <w:b/>
          <w:sz w:val="24"/>
          <w:szCs w:val="24"/>
          <w:u w:val="single"/>
        </w:rPr>
        <w:t>DETERMINING ALLOWABLE COSTS RELA</w:t>
      </w:r>
      <w:r>
        <w:rPr>
          <w:rFonts w:ascii="Arial" w:hAnsi="Arial" w:cs="Arial"/>
          <w:b/>
          <w:sz w:val="24"/>
          <w:szCs w:val="24"/>
          <w:u w:val="single"/>
        </w:rPr>
        <w:t>TED TO FEDERALLY FUNDED POJECTS</w:t>
      </w:r>
    </w:p>
    <w:p w:rsidR="00263563" w:rsidRDefault="00263563" w:rsidP="002635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3563" w:rsidRDefault="00263563" w:rsidP="00A149D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7082A">
        <w:rPr>
          <w:rFonts w:ascii="Arial" w:hAnsi="Arial" w:cs="Arial"/>
          <w:sz w:val="24"/>
          <w:szCs w:val="24"/>
        </w:rPr>
        <w:t xml:space="preserve">ennessee Tech University’s </w:t>
      </w:r>
      <w:r>
        <w:rPr>
          <w:rFonts w:ascii="Arial" w:hAnsi="Arial" w:cs="Arial"/>
          <w:sz w:val="24"/>
          <w:szCs w:val="24"/>
        </w:rPr>
        <w:t>Office of Grant Accounting follows the cost pri</w:t>
      </w:r>
      <w:r w:rsidR="00866515">
        <w:rPr>
          <w:rFonts w:ascii="Arial" w:hAnsi="Arial" w:cs="Arial"/>
          <w:sz w:val="24"/>
          <w:szCs w:val="24"/>
        </w:rPr>
        <w:t xml:space="preserve">ncipals contained in </w:t>
      </w:r>
      <w:r w:rsidR="00866515" w:rsidRPr="00866515">
        <w:rPr>
          <w:rFonts w:ascii="Arial" w:hAnsi="Arial" w:cs="Arial"/>
          <w:sz w:val="24"/>
          <w:szCs w:val="24"/>
          <w:u w:val="single"/>
        </w:rPr>
        <w:t>2 CFR 200 Subpart E</w:t>
      </w:r>
      <w:r w:rsidR="00F7082A">
        <w:rPr>
          <w:rFonts w:ascii="Arial" w:hAnsi="Arial" w:cs="Arial"/>
          <w:sz w:val="24"/>
          <w:szCs w:val="24"/>
        </w:rPr>
        <w:t>.  The Principal Investigator is responsible for determin</w:t>
      </w:r>
      <w:r w:rsidR="00A149DD">
        <w:rPr>
          <w:rFonts w:ascii="Arial" w:hAnsi="Arial" w:cs="Arial"/>
          <w:sz w:val="24"/>
          <w:szCs w:val="24"/>
        </w:rPr>
        <w:t>ing</w:t>
      </w:r>
      <w:r w:rsidR="00F7082A">
        <w:rPr>
          <w:rFonts w:ascii="Arial" w:hAnsi="Arial" w:cs="Arial"/>
          <w:sz w:val="24"/>
          <w:szCs w:val="24"/>
        </w:rPr>
        <w:t xml:space="preserve"> the </w:t>
      </w:r>
      <w:r w:rsidR="00866515">
        <w:rPr>
          <w:rFonts w:ascii="Arial" w:hAnsi="Arial" w:cs="Arial"/>
          <w:sz w:val="24"/>
          <w:szCs w:val="24"/>
        </w:rPr>
        <w:t>reasonableness</w:t>
      </w:r>
      <w:r w:rsidR="00F708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082A">
        <w:rPr>
          <w:rFonts w:ascii="Arial" w:hAnsi="Arial" w:cs="Arial"/>
          <w:sz w:val="24"/>
          <w:szCs w:val="24"/>
        </w:rPr>
        <w:t>allocability</w:t>
      </w:r>
      <w:proofErr w:type="spellEnd"/>
      <w:r w:rsidR="00F7082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F7082A">
        <w:rPr>
          <w:rFonts w:ascii="Arial" w:hAnsi="Arial" w:cs="Arial"/>
          <w:sz w:val="24"/>
          <w:szCs w:val="24"/>
        </w:rPr>
        <w:t>allowability</w:t>
      </w:r>
      <w:proofErr w:type="spellEnd"/>
      <w:r w:rsidR="00F7082A">
        <w:rPr>
          <w:rFonts w:ascii="Arial" w:hAnsi="Arial" w:cs="Arial"/>
          <w:sz w:val="24"/>
          <w:szCs w:val="24"/>
        </w:rPr>
        <w:t xml:space="preserve"> of costs charged to federally funded projects prior to incurring the expense.  Should questions arise, </w:t>
      </w:r>
      <w:r w:rsidR="00866515">
        <w:rPr>
          <w:rFonts w:ascii="Arial" w:hAnsi="Arial" w:cs="Arial"/>
          <w:sz w:val="24"/>
          <w:szCs w:val="24"/>
        </w:rPr>
        <w:t xml:space="preserve">the Principal Investigator should reference 2 CFR 200 at </w:t>
      </w:r>
      <w:hyperlink r:id="rId6" w:history="1">
        <w:r w:rsidR="00866515" w:rsidRPr="001754D0">
          <w:rPr>
            <w:rStyle w:val="Hyperlink"/>
            <w:rFonts w:ascii="Arial" w:hAnsi="Arial" w:cs="Arial"/>
            <w:sz w:val="24"/>
            <w:szCs w:val="24"/>
          </w:rPr>
          <w:t>http://www.ecfr.gov/cgi-bin/text-idx?tpl=/ecfrbrowse/Title02/2cfr200_main_02.tpl</w:t>
        </w:r>
      </w:hyperlink>
      <w:r w:rsidR="00866515">
        <w:rPr>
          <w:rFonts w:ascii="Arial" w:hAnsi="Arial" w:cs="Arial"/>
          <w:sz w:val="24"/>
          <w:szCs w:val="24"/>
        </w:rPr>
        <w:t xml:space="preserve"> and consult with the Office of Grant Accounting and/or the Office of Research to make a final determi</w:t>
      </w:r>
      <w:r w:rsidR="00A149DD">
        <w:rPr>
          <w:rFonts w:ascii="Arial" w:hAnsi="Arial" w:cs="Arial"/>
          <w:sz w:val="24"/>
          <w:szCs w:val="24"/>
        </w:rPr>
        <w:t>nation related to the expense.  Th</w:t>
      </w:r>
      <w:r w:rsidR="005B2B80">
        <w:rPr>
          <w:rFonts w:ascii="Arial" w:hAnsi="Arial" w:cs="Arial"/>
          <w:sz w:val="24"/>
          <w:szCs w:val="24"/>
        </w:rPr>
        <w:t>e O</w:t>
      </w:r>
      <w:r w:rsidR="00A149DD">
        <w:rPr>
          <w:rFonts w:ascii="Arial" w:hAnsi="Arial" w:cs="Arial"/>
          <w:sz w:val="24"/>
          <w:szCs w:val="24"/>
        </w:rPr>
        <w:t xml:space="preserve">ffice of Research also maintains a link at </w:t>
      </w:r>
      <w:hyperlink r:id="rId7" w:history="1">
        <w:r w:rsidR="00A149DD" w:rsidRPr="001754D0">
          <w:rPr>
            <w:rStyle w:val="Hyperlink"/>
            <w:rFonts w:ascii="Arial" w:hAnsi="Arial" w:cs="Arial"/>
            <w:sz w:val="24"/>
            <w:szCs w:val="24"/>
          </w:rPr>
          <w:t>www.tntech.edu/research/policies/</w:t>
        </w:r>
      </w:hyperlink>
      <w:r w:rsidR="00A149DD">
        <w:rPr>
          <w:rFonts w:ascii="Arial" w:hAnsi="Arial" w:cs="Arial"/>
          <w:sz w:val="24"/>
          <w:szCs w:val="24"/>
        </w:rPr>
        <w:t xml:space="preserve"> </w:t>
      </w:r>
      <w:r w:rsidR="005B2B80">
        <w:rPr>
          <w:rFonts w:ascii="Arial" w:hAnsi="Arial" w:cs="Arial"/>
          <w:sz w:val="24"/>
          <w:szCs w:val="24"/>
        </w:rPr>
        <w:t xml:space="preserve">to a quick reference guide to Allowable and Unallowable Costs for Federally Sponsored Projects.  </w:t>
      </w:r>
    </w:p>
    <w:p w:rsidR="00866515" w:rsidRDefault="00866515" w:rsidP="00A149D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an unallowable cost is identified after the expense has been incurred, </w:t>
      </w:r>
      <w:r w:rsidR="005B2B80">
        <w:rPr>
          <w:rFonts w:ascii="Arial" w:hAnsi="Arial" w:cs="Arial"/>
          <w:sz w:val="24"/>
          <w:szCs w:val="24"/>
        </w:rPr>
        <w:t>it</w:t>
      </w:r>
      <w:r w:rsidR="00A149DD">
        <w:rPr>
          <w:rFonts w:ascii="Arial" w:hAnsi="Arial" w:cs="Arial"/>
          <w:sz w:val="24"/>
          <w:szCs w:val="24"/>
        </w:rPr>
        <w:t xml:space="preserve"> must be requisitioned from appropriate unrestricted department</w:t>
      </w:r>
      <w:r w:rsidR="005B2B80">
        <w:rPr>
          <w:rFonts w:ascii="Arial" w:hAnsi="Arial" w:cs="Arial"/>
          <w:sz w:val="24"/>
          <w:szCs w:val="24"/>
        </w:rPr>
        <w:t>al</w:t>
      </w:r>
      <w:r w:rsidR="00A149DD">
        <w:rPr>
          <w:rFonts w:ascii="Arial" w:hAnsi="Arial" w:cs="Arial"/>
          <w:sz w:val="24"/>
          <w:szCs w:val="24"/>
        </w:rPr>
        <w:t xml:space="preserve"> funds using account code 79850 – Unallowable Costs.  </w:t>
      </w:r>
    </w:p>
    <w:p w:rsidR="005B2B80" w:rsidRPr="00263563" w:rsidRDefault="005B2B80" w:rsidP="00A149D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Principal Investigator is responsible for being aware of conditionally unallowable costs per their specific Grant Agency’s guidelines.  </w:t>
      </w:r>
    </w:p>
    <w:p w:rsidR="00263563" w:rsidRDefault="00263563"/>
    <w:p w:rsidR="00263563" w:rsidRDefault="00263563"/>
    <w:sectPr w:rsidR="002635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10" w:rsidRDefault="00231310" w:rsidP="00231310">
      <w:pPr>
        <w:spacing w:after="0" w:line="240" w:lineRule="auto"/>
      </w:pPr>
      <w:r>
        <w:separator/>
      </w:r>
    </w:p>
  </w:endnote>
  <w:endnote w:type="continuationSeparator" w:id="0">
    <w:p w:rsidR="00231310" w:rsidRDefault="00231310" w:rsidP="0023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10" w:rsidRPr="00231310" w:rsidRDefault="00231310" w:rsidP="00231310">
    <w:pPr>
      <w:pStyle w:val="Footer"/>
      <w:jc w:val="right"/>
      <w:rPr>
        <w:rFonts w:ascii="Arial" w:hAnsi="Arial" w:cs="Arial"/>
        <w:i/>
        <w:sz w:val="20"/>
        <w:szCs w:val="20"/>
      </w:rPr>
    </w:pPr>
    <w:r w:rsidRPr="00231310">
      <w:rPr>
        <w:rFonts w:ascii="Arial" w:hAnsi="Arial" w:cs="Arial"/>
        <w:i/>
        <w:sz w:val="20"/>
        <w:szCs w:val="20"/>
      </w:rPr>
      <w:t>Updated:  12/1/2016</w:t>
    </w:r>
  </w:p>
  <w:p w:rsidR="00231310" w:rsidRPr="00231310" w:rsidRDefault="00231310" w:rsidP="00231310">
    <w:pPr>
      <w:pStyle w:val="Footer"/>
      <w:jc w:val="righ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10" w:rsidRDefault="00231310" w:rsidP="00231310">
      <w:pPr>
        <w:spacing w:after="0" w:line="240" w:lineRule="auto"/>
      </w:pPr>
      <w:r>
        <w:separator/>
      </w:r>
    </w:p>
  </w:footnote>
  <w:footnote w:type="continuationSeparator" w:id="0">
    <w:p w:rsidR="00231310" w:rsidRDefault="00231310" w:rsidP="00231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3"/>
    <w:rsid w:val="001361B1"/>
    <w:rsid w:val="00231310"/>
    <w:rsid w:val="00263563"/>
    <w:rsid w:val="005B2B80"/>
    <w:rsid w:val="00782CF0"/>
    <w:rsid w:val="00866515"/>
    <w:rsid w:val="00977B1B"/>
    <w:rsid w:val="00A149DD"/>
    <w:rsid w:val="00AD43D2"/>
    <w:rsid w:val="00F10220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9B694-ECDF-4840-A3EA-A9F718A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5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10"/>
  </w:style>
  <w:style w:type="paragraph" w:styleId="Footer">
    <w:name w:val="footer"/>
    <w:basedOn w:val="Normal"/>
    <w:link w:val="FooterChar"/>
    <w:uiPriority w:val="99"/>
    <w:unhideWhenUsed/>
    <w:rsid w:val="0023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tech.edu/research/polic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fr.gov/cgi-bin/text-idx?tpl=/ecfrbrowse/Title02/2cfr200_main_02.t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Gernt, Deborah</dc:creator>
  <cp:lastModifiedBy>Hill, Amy</cp:lastModifiedBy>
  <cp:revision>2</cp:revision>
  <dcterms:created xsi:type="dcterms:W3CDTF">2019-03-01T21:39:00Z</dcterms:created>
  <dcterms:modified xsi:type="dcterms:W3CDTF">2019-03-01T21:39:00Z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-128145388</vt:i4>
  </property>
  <property fmtid="{D5CDD505-2E9C-101B-9397-08002B2CF9AE}" pid="3" name="_NewReviewCycle">
    <vt:lpwstr/>
  </property>
  <property fmtid="{D5CDD505-2E9C-101B-9397-08002B2CF9AE}" pid="4" name="_EmailSubject">
    <vt:lpwstr>Response to NSF and Supporting Documentation</vt:lpwstr>
  </property>
  <property fmtid="{D5CDD505-2E9C-101B-9397-08002B2CF9AE}" pid="5" name="_AuthorEmail">
    <vt:lpwstr>DGernt@tntech.edu</vt:lpwstr>
  </property>
  <property fmtid="{D5CDD505-2E9C-101B-9397-08002B2CF9AE}" pid="6" name="_AuthorEmailDisplayName">
    <vt:lpwstr>Gernt, Deborah</vt:lpwstr>
  </property>
  <property fmtid="{D5CDD505-2E9C-101B-9397-08002B2CF9AE}" pid="7" name="_ReviewingToolsShownOnce">
    <vt:lpwstr/>
  </property>
</Properties>
</file>