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25C" w:rsidRDefault="0091625C" w:rsidP="0091625C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u w:val="single"/>
        </w:rPr>
        <w:t>Office of Grant Accounting</w:t>
      </w:r>
    </w:p>
    <w:p w:rsidR="0091625C" w:rsidRDefault="0091625C" w:rsidP="0091625C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Tennessee Tech University</w:t>
      </w:r>
    </w:p>
    <w:p w:rsidR="0091625C" w:rsidRDefault="0091625C" w:rsidP="0091625C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Desk Procedure</w:t>
      </w:r>
    </w:p>
    <w:p w:rsidR="0091625C" w:rsidRDefault="0091625C" w:rsidP="0091625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1625C" w:rsidRDefault="0091625C" w:rsidP="009162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RECORD RETENTION</w:t>
      </w:r>
    </w:p>
    <w:p w:rsidR="0091625C" w:rsidRDefault="0091625C" w:rsidP="0091625C">
      <w:pPr>
        <w:rPr>
          <w:rFonts w:ascii="Arial" w:hAnsi="Arial" w:cs="Arial"/>
          <w:sz w:val="24"/>
          <w:szCs w:val="24"/>
        </w:rPr>
      </w:pPr>
    </w:p>
    <w:p w:rsidR="0091625C" w:rsidRDefault="0091625C" w:rsidP="009162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In compliance with The State of Tennessee Records Management Division, all grant files will be maintained and retained for five years after the final expenditure report has </w:t>
      </w:r>
      <w:r w:rsidR="008F1864">
        <w:rPr>
          <w:rFonts w:ascii="Arial" w:hAnsi="Arial" w:cs="Arial"/>
          <w:sz w:val="24"/>
          <w:szCs w:val="24"/>
        </w:rPr>
        <w:t>been submitted.  See RDA SW21</w:t>
      </w:r>
      <w:r>
        <w:rPr>
          <w:rFonts w:ascii="Arial" w:hAnsi="Arial" w:cs="Arial"/>
          <w:sz w:val="24"/>
          <w:szCs w:val="24"/>
        </w:rPr>
        <w:t xml:space="preserve"> for the entirety of the disposition of grant files.  </w:t>
      </w:r>
      <w:hyperlink r:id="rId6" w:history="1">
        <w:r w:rsidRPr="001754D0">
          <w:rPr>
            <w:rStyle w:val="Hyperlink"/>
            <w:rFonts w:ascii="Arial" w:hAnsi="Arial" w:cs="Arial"/>
            <w:sz w:val="24"/>
            <w:szCs w:val="24"/>
          </w:rPr>
          <w:t>http://tnsos.net/rmd/rda/detail_rda.php?rda_id=1932</w:t>
        </w:r>
      </w:hyperlink>
    </w:p>
    <w:p w:rsidR="0091625C" w:rsidRDefault="0091625C" w:rsidP="0091625C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0F5EA3B8" wp14:editId="0F564D8F">
            <wp:extent cx="5943600" cy="39395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3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25C" w:rsidRDefault="0091625C" w:rsidP="0091625C">
      <w:pPr>
        <w:rPr>
          <w:rFonts w:ascii="Arial" w:hAnsi="Arial" w:cs="Arial"/>
          <w:sz w:val="24"/>
          <w:szCs w:val="24"/>
        </w:rPr>
      </w:pPr>
    </w:p>
    <w:p w:rsidR="0091625C" w:rsidRDefault="00814724" w:rsidP="009162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Office of Grant Accounting maintains a retention log by Fiscal Year that contains scanned files of grant</w:t>
      </w:r>
      <w:r w:rsidR="00381F6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closed during that particular fiscal year.  </w:t>
      </w:r>
    </w:p>
    <w:p w:rsidR="00814724" w:rsidRDefault="00814724" w:rsidP="009162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Per 2 CFR 200.333 all records related to a Federal award must be retained for a period of three years from the date of submission of the final expenditure report; however the Office of Grant Accounting will abide by RDA SW21.</w:t>
      </w:r>
    </w:p>
    <w:p w:rsidR="0091625C" w:rsidRDefault="00F946A1" w:rsidP="0091625C">
      <w:pPr>
        <w:rPr>
          <w:rFonts w:ascii="Arial" w:hAnsi="Arial" w:cs="Arial"/>
          <w:sz w:val="24"/>
          <w:szCs w:val="24"/>
        </w:rPr>
      </w:pPr>
      <w:hyperlink r:id="rId8" w:history="1">
        <w:r w:rsidR="006C43F1" w:rsidRPr="0004261E">
          <w:rPr>
            <w:rStyle w:val="Hyperlink"/>
            <w:rFonts w:ascii="Arial" w:hAnsi="Arial" w:cs="Arial"/>
            <w:sz w:val="24"/>
            <w:szCs w:val="24"/>
          </w:rPr>
          <w:t>https://policies.tbr.edu/guidelines/records-retention-and-disposal-records</w:t>
        </w:r>
      </w:hyperlink>
    </w:p>
    <w:p w:rsidR="006C43F1" w:rsidRDefault="006C43F1" w:rsidP="0091625C">
      <w:pPr>
        <w:rPr>
          <w:rFonts w:ascii="Arial" w:hAnsi="Arial" w:cs="Arial"/>
          <w:sz w:val="24"/>
          <w:szCs w:val="24"/>
        </w:rPr>
      </w:pPr>
    </w:p>
    <w:p w:rsidR="0091625C" w:rsidRPr="0091625C" w:rsidRDefault="0091625C" w:rsidP="0091625C">
      <w:pPr>
        <w:rPr>
          <w:rFonts w:ascii="Arial" w:hAnsi="Arial" w:cs="Arial"/>
          <w:sz w:val="24"/>
          <w:szCs w:val="24"/>
        </w:rPr>
      </w:pPr>
    </w:p>
    <w:p w:rsidR="001361B1" w:rsidRDefault="001361B1"/>
    <w:sectPr w:rsidR="001361B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724" w:rsidRDefault="00814724" w:rsidP="00814724">
      <w:pPr>
        <w:spacing w:after="0" w:line="240" w:lineRule="auto"/>
      </w:pPr>
      <w:r>
        <w:separator/>
      </w:r>
    </w:p>
  </w:endnote>
  <w:endnote w:type="continuationSeparator" w:id="0">
    <w:p w:rsidR="00814724" w:rsidRDefault="00814724" w:rsidP="00814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724" w:rsidRPr="00814724" w:rsidRDefault="00814724" w:rsidP="00814724">
    <w:pPr>
      <w:pStyle w:val="Footer"/>
      <w:jc w:val="right"/>
      <w:rPr>
        <w:rFonts w:ascii="Arial" w:hAnsi="Arial" w:cs="Arial"/>
        <w:i/>
        <w:sz w:val="20"/>
        <w:szCs w:val="20"/>
      </w:rPr>
    </w:pPr>
    <w:r w:rsidRPr="00814724">
      <w:rPr>
        <w:rFonts w:ascii="Arial" w:hAnsi="Arial" w:cs="Arial"/>
        <w:i/>
        <w:sz w:val="20"/>
        <w:szCs w:val="20"/>
      </w:rPr>
      <w:t>Updated:  12/1/2016</w:t>
    </w:r>
  </w:p>
  <w:p w:rsidR="00814724" w:rsidRDefault="008147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724" w:rsidRDefault="00814724" w:rsidP="00814724">
      <w:pPr>
        <w:spacing w:after="0" w:line="240" w:lineRule="auto"/>
      </w:pPr>
      <w:r>
        <w:separator/>
      </w:r>
    </w:p>
  </w:footnote>
  <w:footnote w:type="continuationSeparator" w:id="0">
    <w:p w:rsidR="00814724" w:rsidRDefault="00814724" w:rsidP="008147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25C"/>
    <w:rsid w:val="00010607"/>
    <w:rsid w:val="001361B1"/>
    <w:rsid w:val="00381F68"/>
    <w:rsid w:val="006C43F1"/>
    <w:rsid w:val="00814724"/>
    <w:rsid w:val="008F1864"/>
    <w:rsid w:val="0091625C"/>
    <w:rsid w:val="00F9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465B1B-AB69-40B5-A347-99C4F3226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2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625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147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724"/>
  </w:style>
  <w:style w:type="paragraph" w:styleId="Footer">
    <w:name w:val="footer"/>
    <w:basedOn w:val="Normal"/>
    <w:link w:val="FooterChar"/>
    <w:uiPriority w:val="99"/>
    <w:unhideWhenUsed/>
    <w:rsid w:val="008147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724"/>
  </w:style>
  <w:style w:type="paragraph" w:styleId="BalloonText">
    <w:name w:val="Balloon Text"/>
    <w:basedOn w:val="Normal"/>
    <w:link w:val="BalloonTextChar"/>
    <w:uiPriority w:val="99"/>
    <w:semiHidden/>
    <w:unhideWhenUsed/>
    <w:rsid w:val="00010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6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cies.tbr.edu/guidelines/records-retention-and-disposal-record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nsos.net/rmd/rda/detail_rda.php?rda_id=1932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876</Characters>
  <Application>Microsoft Office Word</Application>
  <DocSecurity>0</DocSecurity>
  <Lines>17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Tennessee Tech University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Gernt, Deborah</dc:creator>
  <cp:lastModifiedBy>Hill, Amy</cp:lastModifiedBy>
  <cp:revision>2</cp:revision>
  <dcterms:created xsi:type="dcterms:W3CDTF">2019-03-04T20:30:00Z</dcterms:created>
  <dcterms:modified xsi:type="dcterms:W3CDTF">2019-03-04T20:30:00Z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1536390617</vt:i4>
  </property>
  <property fmtid="{D5CDD505-2E9C-101B-9397-08002B2CF9AE}" pid="3" name="_NewReviewCycle">
    <vt:lpwstr/>
  </property>
  <property fmtid="{D5CDD505-2E9C-101B-9397-08002B2CF9AE}" pid="4" name="_EmailSubject">
    <vt:lpwstr>Response to NSF and Supporting Documentation</vt:lpwstr>
  </property>
  <property fmtid="{D5CDD505-2E9C-101B-9397-08002B2CF9AE}" pid="5" name="_AuthorEmail">
    <vt:lpwstr>DGernt@tntech.edu</vt:lpwstr>
  </property>
  <property fmtid="{D5CDD505-2E9C-101B-9397-08002B2CF9AE}" pid="6" name="_AuthorEmailDisplayName">
    <vt:lpwstr>Gernt, Deborah</vt:lpwstr>
  </property>
  <property fmtid="{D5CDD505-2E9C-101B-9397-08002B2CF9AE}" pid="7" name="_ReviewingToolsShownOnce">
    <vt:lpwstr/>
  </property>
</Properties>
</file>