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EB871" w14:textId="0885826B" w:rsidR="008C3FB6" w:rsidRDefault="008C3FB6" w:rsidP="008C3FB6">
      <w:pPr>
        <w:pStyle w:val="Title"/>
      </w:pPr>
      <w:r w:rsidRPr="008C3FB6">
        <w:t>Tennessee Tech University</w:t>
      </w:r>
    </w:p>
    <w:p w14:paraId="04E90257" w14:textId="14BC09A9" w:rsidR="008C3FB6" w:rsidRDefault="008C3FB6" w:rsidP="008C3FB6">
      <w:pPr>
        <w:pStyle w:val="Heading3"/>
      </w:pPr>
      <w:r>
        <w:t>Budget Justification Template</w:t>
      </w:r>
    </w:p>
    <w:p w14:paraId="0CCB468E" w14:textId="488014B3" w:rsidR="008C3FB6" w:rsidRDefault="008C3FB6" w:rsidP="008C3FB6"/>
    <w:p w14:paraId="68216617" w14:textId="77777777" w:rsidR="00D90C19" w:rsidRPr="00D90C19" w:rsidRDefault="00D90C19" w:rsidP="00D90C19">
      <w:pPr>
        <w:jc w:val="both"/>
        <w:rPr>
          <w:rFonts w:asciiTheme="majorHAnsi" w:hAnsiTheme="majorHAnsi" w:cstheme="majorHAnsi"/>
          <w:sz w:val="22"/>
        </w:rPr>
      </w:pPr>
      <w:r w:rsidRPr="00D90C19">
        <w:rPr>
          <w:rFonts w:asciiTheme="majorHAnsi" w:hAnsiTheme="majorHAnsi" w:cstheme="majorHAnsi"/>
          <w:sz w:val="22"/>
        </w:rPr>
        <w:t xml:space="preserve">Agencies almost always require a budget justification to accompany the budget, but even when they don't, the Office of Research will still require it for its internal records.  A carefully prepared budget and justification at the proposal stage can make life a lot easier when the award comes in.  The proposal budget and budget justification should, as accurately as possible, represent a financial narrative of the project and align with the statement of work (SOW) outlined in the project narrative. </w:t>
      </w:r>
    </w:p>
    <w:p w14:paraId="633BBA64" w14:textId="77777777" w:rsidR="00D90C19" w:rsidRPr="00D90C19" w:rsidRDefault="00D90C19" w:rsidP="00D90C19">
      <w:pPr>
        <w:jc w:val="both"/>
        <w:rPr>
          <w:rFonts w:asciiTheme="majorHAnsi" w:hAnsiTheme="majorHAnsi" w:cstheme="majorHAnsi"/>
          <w:sz w:val="22"/>
        </w:rPr>
      </w:pPr>
      <w:r w:rsidRPr="00D90C19">
        <w:rPr>
          <w:rFonts w:asciiTheme="majorHAnsi" w:hAnsiTheme="majorHAnsi" w:cstheme="majorHAnsi"/>
          <w:sz w:val="22"/>
        </w:rPr>
        <w:t xml:space="preserve">Just as the research process has to be very clearly articulated to the reviewer in the SOW, the budget and budget justification should be methodical as well in enumerating and explaining all reasonable, allowable and allocable project expenses so as to minimize prior approval requests and budget shortfalls before an award even begins. </w:t>
      </w:r>
    </w:p>
    <w:p w14:paraId="31986562" w14:textId="133E6A15" w:rsidR="00D90C19" w:rsidRDefault="00D90C19" w:rsidP="00D90C19">
      <w:pPr>
        <w:jc w:val="both"/>
        <w:rPr>
          <w:rFonts w:asciiTheme="majorHAnsi" w:hAnsiTheme="majorHAnsi" w:cstheme="majorHAnsi"/>
          <w:sz w:val="22"/>
        </w:rPr>
      </w:pPr>
      <w:r w:rsidRPr="00D90C19">
        <w:rPr>
          <w:rFonts w:asciiTheme="majorHAnsi" w:hAnsiTheme="majorHAnsi" w:cstheme="majorHAnsi"/>
          <w:sz w:val="22"/>
        </w:rPr>
        <w:t xml:space="preserve">It is important to remember that a budget isn't just a collection of numbers on a page.  Should a proposal be awarded, the budget and budget justification will be used and referred to for a number of years by anyone administering the award.  </w:t>
      </w:r>
    </w:p>
    <w:p w14:paraId="51654C67" w14:textId="77777777" w:rsidR="00D90C19" w:rsidRDefault="00D90C19" w:rsidP="00D90C19">
      <w:pPr>
        <w:jc w:val="both"/>
        <w:rPr>
          <w:rFonts w:asciiTheme="majorHAnsi" w:hAnsiTheme="majorHAnsi" w:cstheme="majorHAnsi"/>
          <w:sz w:val="22"/>
        </w:rPr>
      </w:pPr>
      <w:r w:rsidRPr="00D020F6">
        <w:rPr>
          <w:rFonts w:asciiTheme="majorHAnsi" w:hAnsiTheme="majorHAnsi" w:cstheme="majorHAnsi"/>
          <w:sz w:val="22"/>
        </w:rPr>
        <w:t>The items contained in the below justification have been pulled from various budget justifications over the course of several projects</w:t>
      </w:r>
      <w:r>
        <w:rPr>
          <w:rFonts w:asciiTheme="majorHAnsi" w:hAnsiTheme="majorHAnsi" w:cstheme="majorHAnsi"/>
          <w:sz w:val="22"/>
        </w:rPr>
        <w:t xml:space="preserve"> and,</w:t>
      </w:r>
      <w:r w:rsidRPr="00D020F6">
        <w:rPr>
          <w:rFonts w:asciiTheme="majorHAnsi" w:hAnsiTheme="majorHAnsi" w:cstheme="majorHAnsi"/>
          <w:sz w:val="22"/>
        </w:rPr>
        <w:t xml:space="preserve"> therefore, do not represent one cohesive proposal. Please view this document as a menu and take what best suits your proposal and delete what is not needed. This document was built using NSF’s categories; therefore, Participant Support may not apply to your proposal. This is a starting point for your budget justification. If you are unsure and would like assist</w:t>
      </w:r>
      <w:r>
        <w:rPr>
          <w:rFonts w:asciiTheme="majorHAnsi" w:hAnsiTheme="majorHAnsi" w:cstheme="majorHAnsi"/>
          <w:sz w:val="22"/>
        </w:rPr>
        <w:t>ance, please contact our office</w:t>
      </w:r>
      <w:r w:rsidRPr="00D020F6">
        <w:rPr>
          <w:rFonts w:asciiTheme="majorHAnsi" w:hAnsiTheme="majorHAnsi" w:cstheme="majorHAnsi"/>
          <w:sz w:val="22"/>
        </w:rPr>
        <w:t xml:space="preserve">. </w:t>
      </w:r>
    </w:p>
    <w:p w14:paraId="4F2B7B01" w14:textId="2108AFE1" w:rsidR="00D020F6" w:rsidRPr="00D020F6" w:rsidRDefault="00D020F6" w:rsidP="00D020F6">
      <w:pPr>
        <w:jc w:val="both"/>
        <w:rPr>
          <w:rFonts w:asciiTheme="majorHAnsi" w:hAnsiTheme="majorHAnsi" w:cstheme="majorHAnsi"/>
          <w:sz w:val="22"/>
        </w:rPr>
      </w:pPr>
      <w:r w:rsidRPr="00D020F6">
        <w:rPr>
          <w:rFonts w:asciiTheme="majorHAnsi" w:hAnsiTheme="majorHAnsi" w:cstheme="majorHAnsi"/>
          <w:sz w:val="22"/>
        </w:rPr>
        <w:t>Thank you and best of luck on your proposal!</w:t>
      </w:r>
    </w:p>
    <w:p w14:paraId="35E40968" w14:textId="1032A463" w:rsidR="008C3FB6" w:rsidRDefault="008C3FB6">
      <w:pPr>
        <w:rPr>
          <w:rFonts w:asciiTheme="majorHAnsi" w:hAnsiTheme="majorHAnsi"/>
          <w:b/>
          <w:bCs/>
        </w:rPr>
      </w:pPr>
      <w:r>
        <w:rPr>
          <w:rFonts w:asciiTheme="majorHAnsi" w:hAnsiTheme="majorHAnsi"/>
          <w:b/>
          <w:bCs/>
        </w:rPr>
        <w:br w:type="page"/>
      </w:r>
    </w:p>
    <w:p w14:paraId="7BF05AD9" w14:textId="0E8A1CB8" w:rsidR="00364361" w:rsidRPr="00C94352" w:rsidRDefault="004873F6" w:rsidP="006D3357">
      <w:pPr>
        <w:jc w:val="center"/>
        <w:rPr>
          <w:rFonts w:asciiTheme="majorHAnsi" w:hAnsiTheme="majorHAnsi"/>
          <w:b/>
          <w:bCs/>
        </w:rPr>
      </w:pPr>
      <w:r w:rsidRPr="00C94352">
        <w:rPr>
          <w:rFonts w:asciiTheme="majorHAnsi" w:hAnsiTheme="majorHAnsi"/>
          <w:b/>
          <w:bCs/>
        </w:rPr>
        <w:lastRenderedPageBreak/>
        <w:t>Tennessee Tech University</w:t>
      </w:r>
      <w:r w:rsidR="006D3357">
        <w:rPr>
          <w:rFonts w:asciiTheme="majorHAnsi" w:hAnsiTheme="majorHAnsi"/>
          <w:b/>
          <w:bCs/>
        </w:rPr>
        <w:t xml:space="preserve"> </w:t>
      </w:r>
      <w:r w:rsidRPr="00C94352">
        <w:rPr>
          <w:rFonts w:asciiTheme="majorHAnsi" w:hAnsiTheme="majorHAnsi"/>
          <w:b/>
          <w:bCs/>
        </w:rPr>
        <w:t>Budget Justification</w:t>
      </w:r>
    </w:p>
    <w:p w14:paraId="20B65AD5" w14:textId="7A5508FC" w:rsidR="00C3258D" w:rsidRDefault="00F176AD" w:rsidP="00C94352">
      <w:pPr>
        <w:jc w:val="center"/>
        <w:rPr>
          <w:rFonts w:asciiTheme="majorHAnsi" w:hAnsiTheme="majorHAnsi"/>
          <w:b/>
          <w:bCs/>
          <w:i/>
        </w:rPr>
      </w:pPr>
      <w:r>
        <w:rPr>
          <w:rFonts w:asciiTheme="majorHAnsi" w:hAnsiTheme="majorHAnsi"/>
          <w:b/>
          <w:bCs/>
          <w:i/>
        </w:rPr>
        <w:t xml:space="preserve">Project Title: </w:t>
      </w:r>
      <w:sdt>
        <w:sdtPr>
          <w:rPr>
            <w:rFonts w:asciiTheme="majorHAnsi" w:hAnsiTheme="majorHAnsi"/>
            <w:b/>
            <w:bCs/>
            <w:i/>
          </w:rPr>
          <w:alias w:val="Project Title"/>
          <w:tag w:val="Project Title"/>
          <w:id w:val="-1791654971"/>
          <w:placeholder>
            <w:docPart w:val="DefaultPlaceholder_-1854013440"/>
          </w:placeholder>
          <w:showingPlcHdr/>
        </w:sdtPr>
        <w:sdtEndPr/>
        <w:sdtContent>
          <w:r w:rsidRPr="00CF51E5">
            <w:rPr>
              <w:rStyle w:val="PlaceholderText"/>
            </w:rPr>
            <w:t>Click or tap here to enter text.</w:t>
          </w:r>
        </w:sdtContent>
      </w:sdt>
    </w:p>
    <w:p w14:paraId="5CE9C0BC" w14:textId="77777777" w:rsidR="007F1EEB" w:rsidRDefault="00F176AD" w:rsidP="00C94352">
      <w:pPr>
        <w:jc w:val="center"/>
        <w:rPr>
          <w:rFonts w:asciiTheme="majorHAnsi" w:hAnsiTheme="majorHAnsi"/>
          <w:b/>
          <w:bCs/>
        </w:rPr>
      </w:pPr>
      <w:r>
        <w:rPr>
          <w:rFonts w:asciiTheme="majorHAnsi" w:hAnsiTheme="majorHAnsi"/>
          <w:b/>
          <w:bCs/>
        </w:rPr>
        <w:t xml:space="preserve">Project Dates: </w:t>
      </w:r>
      <w:sdt>
        <w:sdtPr>
          <w:rPr>
            <w:rFonts w:asciiTheme="majorHAnsi" w:hAnsiTheme="majorHAnsi"/>
            <w:b/>
            <w:bCs/>
          </w:rPr>
          <w:alias w:val="Project Dates"/>
          <w:tag w:val="Project Dates"/>
          <w:id w:val="-1489705053"/>
          <w:placeholder>
            <w:docPart w:val="DefaultPlaceholder_-1854013440"/>
          </w:placeholder>
          <w:showingPlcHdr/>
        </w:sdtPr>
        <w:sdtEndPr/>
        <w:sdtContent>
          <w:r w:rsidRPr="00CF51E5">
            <w:rPr>
              <w:rStyle w:val="PlaceholderText"/>
            </w:rPr>
            <w:t>Click or tap here to enter text.</w:t>
          </w:r>
        </w:sdtContent>
      </w:sdt>
    </w:p>
    <w:p w14:paraId="1A351F2B" w14:textId="7E724C11" w:rsidR="007F1EEB" w:rsidRDefault="007F1EEB" w:rsidP="003E7370">
      <w:pPr>
        <w:pStyle w:val="Heading1"/>
        <w:ind w:right="90"/>
      </w:pPr>
      <w:r>
        <w:t>Total Salaries &amp; Wages | $</w:t>
      </w:r>
      <w:r w:rsidR="006E4100">
        <w:t>xxx</w:t>
      </w:r>
    </w:p>
    <w:p w14:paraId="5A9EDD2A" w14:textId="32077CAD" w:rsidR="00D448FF" w:rsidRDefault="007F1EEB" w:rsidP="00D448FF">
      <w:pPr>
        <w:ind w:firstLine="720"/>
        <w:jc w:val="both"/>
        <w:rPr>
          <w:rFonts w:asciiTheme="majorHAnsi" w:hAnsiTheme="majorHAnsi"/>
        </w:rPr>
      </w:pPr>
      <w:r>
        <w:rPr>
          <w:rFonts w:asciiTheme="majorHAnsi" w:hAnsiTheme="majorHAnsi"/>
        </w:rPr>
        <w:t xml:space="preserve">Labor rates for personnel are set strictly by their current rate of pay at </w:t>
      </w:r>
      <w:r w:rsidRPr="0076347B">
        <w:rPr>
          <w:rFonts w:asciiTheme="majorHAnsi" w:hAnsiTheme="majorHAnsi"/>
        </w:rPr>
        <w:t>Tennessee Tech University</w:t>
      </w:r>
      <w:r>
        <w:rPr>
          <w:rFonts w:asciiTheme="majorHAnsi" w:hAnsiTheme="majorHAnsi"/>
        </w:rPr>
        <w:t xml:space="preserve"> (</w:t>
      </w:r>
      <w:r w:rsidR="00C847C6">
        <w:rPr>
          <w:rFonts w:asciiTheme="majorHAnsi" w:hAnsiTheme="majorHAnsi"/>
        </w:rPr>
        <w:t>Tennessee Tech</w:t>
      </w:r>
      <w:r>
        <w:rPr>
          <w:rFonts w:asciiTheme="majorHAnsi" w:hAnsiTheme="majorHAnsi"/>
        </w:rPr>
        <w:t>). One month is 162.5 hours and one week is 37.5 hours. Faculty are on 9-month appointments which equals 1,462.50 hours. The budget includes an anticipated 3% increase for regular full-time employees to include salary increases effective August 1 and/or at the beginning of the Fall semester.</w:t>
      </w:r>
      <w:r w:rsidR="001E1193">
        <w:rPr>
          <w:rFonts w:asciiTheme="majorHAnsi" w:hAnsiTheme="majorHAnsi"/>
        </w:rPr>
        <w:t xml:space="preserve"> Undergraduate student workers may be paid an hourly wage </w:t>
      </w:r>
      <w:r w:rsidR="00D114C8">
        <w:rPr>
          <w:rFonts w:asciiTheme="majorHAnsi" w:hAnsiTheme="majorHAnsi"/>
        </w:rPr>
        <w:t>between</w:t>
      </w:r>
      <w:r w:rsidR="001E1193">
        <w:rPr>
          <w:rFonts w:asciiTheme="majorHAnsi" w:hAnsiTheme="majorHAnsi"/>
        </w:rPr>
        <w:t xml:space="preserve"> the federal and state minimum wage of $7.25 </w:t>
      </w:r>
      <w:r w:rsidR="00D114C8">
        <w:rPr>
          <w:rFonts w:asciiTheme="majorHAnsi" w:hAnsiTheme="majorHAnsi"/>
        </w:rPr>
        <w:t>and a maximum of</w:t>
      </w:r>
      <w:r w:rsidR="001E1193">
        <w:rPr>
          <w:rFonts w:asciiTheme="majorHAnsi" w:hAnsiTheme="majorHAnsi"/>
        </w:rPr>
        <w:t xml:space="preserve"> $1</w:t>
      </w:r>
      <w:r w:rsidR="00854476">
        <w:rPr>
          <w:rFonts w:asciiTheme="majorHAnsi" w:hAnsiTheme="majorHAnsi"/>
        </w:rPr>
        <w:t>2</w:t>
      </w:r>
      <w:r w:rsidR="001E1193">
        <w:rPr>
          <w:rFonts w:asciiTheme="majorHAnsi" w:hAnsiTheme="majorHAnsi"/>
        </w:rPr>
        <w:t>. Pay rates above $1</w:t>
      </w:r>
      <w:r w:rsidR="00854476">
        <w:rPr>
          <w:rFonts w:asciiTheme="majorHAnsi" w:hAnsiTheme="majorHAnsi"/>
        </w:rPr>
        <w:t>2</w:t>
      </w:r>
      <w:r w:rsidR="001E1193">
        <w:rPr>
          <w:rFonts w:asciiTheme="majorHAnsi" w:hAnsiTheme="majorHAnsi"/>
        </w:rPr>
        <w:t xml:space="preserve"> per hour require the agency approval and will be clearly </w:t>
      </w:r>
      <w:r w:rsidR="00D114C8">
        <w:rPr>
          <w:rFonts w:asciiTheme="majorHAnsi" w:hAnsiTheme="majorHAnsi"/>
        </w:rPr>
        <w:t>outlined below as needed</w:t>
      </w:r>
      <w:r w:rsidR="001E1193">
        <w:rPr>
          <w:rFonts w:asciiTheme="majorHAnsi" w:hAnsiTheme="majorHAnsi"/>
        </w:rPr>
        <w:t>.</w:t>
      </w:r>
      <w:r w:rsidR="00D448FF" w:rsidRPr="00D448FF">
        <w:rPr>
          <w:rFonts w:asciiTheme="majorHAnsi" w:hAnsiTheme="majorHAnsi"/>
        </w:rPr>
        <w:t xml:space="preserve"> </w:t>
      </w:r>
    </w:p>
    <w:p w14:paraId="61474035" w14:textId="253C97A5" w:rsidR="00D448FF" w:rsidRDefault="00C847C6" w:rsidP="00C847C6">
      <w:pPr>
        <w:spacing w:after="0"/>
        <w:jc w:val="both"/>
        <w:rPr>
          <w:rFonts w:asciiTheme="majorHAnsi" w:hAnsiTheme="majorHAnsi"/>
        </w:rPr>
      </w:pPr>
      <w:r>
        <w:rPr>
          <w:rFonts w:asciiTheme="majorHAnsi" w:hAnsiTheme="majorHAnsi"/>
        </w:rPr>
        <w:t>Tennessee Tech</w:t>
      </w:r>
      <w:r w:rsidR="00D448FF">
        <w:rPr>
          <w:rFonts w:asciiTheme="majorHAnsi" w:hAnsiTheme="majorHAnsi"/>
        </w:rPr>
        <w:t xml:space="preserve"> </w:t>
      </w:r>
      <w:r w:rsidR="00D448FF" w:rsidRPr="00440B3D">
        <w:rPr>
          <w:rFonts w:asciiTheme="majorHAnsi" w:hAnsiTheme="majorHAnsi"/>
        </w:rPr>
        <w:t>defines “year” as their state fiscal year from 7/1 to 6/30.</w:t>
      </w:r>
    </w:p>
    <w:p w14:paraId="04D5F81E" w14:textId="7DD15B5B" w:rsidR="00D448FF" w:rsidRPr="00C847C6" w:rsidRDefault="00D448FF" w:rsidP="00C847C6">
      <w:pPr>
        <w:pStyle w:val="ListParagraph"/>
        <w:numPr>
          <w:ilvl w:val="0"/>
          <w:numId w:val="5"/>
        </w:numPr>
        <w:spacing w:after="0" w:line="240" w:lineRule="auto"/>
        <w:jc w:val="both"/>
        <w:rPr>
          <w:rFonts w:asciiTheme="majorHAnsi" w:hAnsiTheme="majorHAnsi"/>
        </w:rPr>
      </w:pPr>
      <w:r w:rsidRPr="00C847C6">
        <w:rPr>
          <w:rFonts w:asciiTheme="majorHAnsi" w:hAnsiTheme="majorHAnsi"/>
        </w:rPr>
        <w:t>A calendar year is the 12 month period starting January 1 and ending December 31.</w:t>
      </w:r>
    </w:p>
    <w:p w14:paraId="1F9C3C11" w14:textId="23F343C7" w:rsidR="00D448FF" w:rsidRPr="00C847C6" w:rsidRDefault="00D448FF" w:rsidP="00C847C6">
      <w:pPr>
        <w:pStyle w:val="ListParagraph"/>
        <w:numPr>
          <w:ilvl w:val="0"/>
          <w:numId w:val="5"/>
        </w:numPr>
        <w:spacing w:after="0" w:line="240" w:lineRule="auto"/>
        <w:jc w:val="both"/>
        <w:rPr>
          <w:rFonts w:asciiTheme="majorHAnsi" w:hAnsiTheme="majorHAnsi"/>
        </w:rPr>
      </w:pPr>
      <w:r w:rsidRPr="00C847C6">
        <w:rPr>
          <w:rFonts w:asciiTheme="majorHAnsi" w:hAnsiTheme="majorHAnsi"/>
        </w:rPr>
        <w:t>A fiscal year is the 12 month period starting July 1 and ending June 30.</w:t>
      </w:r>
    </w:p>
    <w:p w14:paraId="6583A4EE" w14:textId="1E492442" w:rsidR="009E4B0F" w:rsidRPr="00C847C6" w:rsidRDefault="00D448FF" w:rsidP="00C847C6">
      <w:pPr>
        <w:pStyle w:val="ListParagraph"/>
        <w:numPr>
          <w:ilvl w:val="0"/>
          <w:numId w:val="5"/>
        </w:numPr>
        <w:spacing w:line="240" w:lineRule="auto"/>
        <w:jc w:val="both"/>
        <w:rPr>
          <w:rFonts w:asciiTheme="majorHAnsi" w:hAnsiTheme="majorHAnsi"/>
        </w:rPr>
      </w:pPr>
      <w:r w:rsidRPr="00C847C6">
        <w:rPr>
          <w:rFonts w:asciiTheme="majorHAnsi" w:hAnsiTheme="majorHAnsi"/>
        </w:rPr>
        <w:t xml:space="preserve">An academic year is the 9 month period starting </w:t>
      </w:r>
      <w:r w:rsidR="00C847C6" w:rsidRPr="00C847C6">
        <w:rPr>
          <w:rFonts w:asciiTheme="majorHAnsi" w:hAnsiTheme="majorHAnsi"/>
        </w:rPr>
        <w:t>the last Monday in August</w:t>
      </w:r>
      <w:r w:rsidRPr="00C847C6">
        <w:rPr>
          <w:rFonts w:asciiTheme="majorHAnsi" w:hAnsiTheme="majorHAnsi"/>
        </w:rPr>
        <w:t xml:space="preserve"> and ending </w:t>
      </w:r>
      <w:r w:rsidR="00C847C6" w:rsidRPr="00C847C6">
        <w:rPr>
          <w:rFonts w:asciiTheme="majorHAnsi" w:hAnsiTheme="majorHAnsi"/>
        </w:rPr>
        <w:t>the first Friday in May</w:t>
      </w:r>
      <w:r w:rsidRPr="00C847C6">
        <w:rPr>
          <w:rFonts w:asciiTheme="majorHAnsi" w:hAnsiTheme="majorHAnsi"/>
        </w:rPr>
        <w:t>.</w:t>
      </w:r>
      <w:r w:rsidR="00CE1A60" w:rsidRPr="00C847C6">
        <w:rPr>
          <w:rFonts w:asciiTheme="majorHAnsi" w:hAnsiTheme="majorHAnsi"/>
        </w:rPr>
        <w:fldChar w:fldCharType="begin"/>
      </w:r>
      <w:r w:rsidR="00CE1A60" w:rsidRPr="00C847C6">
        <w:rPr>
          <w:rFonts w:asciiTheme="majorHAnsi" w:hAnsiTheme="majorHAnsi"/>
        </w:rPr>
        <w:instrText xml:space="preserve"> ASK  "Project Title"  \* MERGEFORMAT </w:instrText>
      </w:r>
      <w:r w:rsidR="00CE1A60" w:rsidRPr="00C847C6">
        <w:rPr>
          <w:rFonts w:asciiTheme="majorHAnsi" w:hAnsiTheme="majorHAnsi"/>
        </w:rPr>
        <w:fldChar w:fldCharType="end"/>
      </w:r>
    </w:p>
    <w:p w14:paraId="722737F7" w14:textId="1090E282" w:rsidR="00364361" w:rsidRPr="00C94352" w:rsidRDefault="007F1EEB" w:rsidP="003E7370">
      <w:pPr>
        <w:pStyle w:val="Heading2"/>
        <w:numPr>
          <w:ilvl w:val="0"/>
          <w:numId w:val="2"/>
        </w:numPr>
        <w:ind w:left="270" w:right="90" w:hanging="270"/>
        <w:rPr>
          <w:rFonts w:asciiTheme="majorHAnsi" w:hAnsiTheme="majorHAnsi"/>
        </w:rPr>
      </w:pPr>
      <w:r>
        <w:rPr>
          <w:rFonts w:asciiTheme="majorHAnsi" w:hAnsiTheme="majorHAnsi"/>
        </w:rPr>
        <w:t>Senior Personnel</w:t>
      </w:r>
      <w:r w:rsidR="004873F6">
        <w:rPr>
          <w:rFonts w:asciiTheme="majorHAnsi" w:hAnsiTheme="majorHAnsi"/>
        </w:rPr>
        <w:t xml:space="preserve"> | </w:t>
      </w:r>
      <w:r w:rsidR="0076347B">
        <w:rPr>
          <w:rFonts w:asciiTheme="majorHAnsi" w:hAnsiTheme="majorHAnsi"/>
        </w:rPr>
        <w:t>$</w:t>
      </w:r>
      <w:r w:rsidR="006E4100">
        <w:rPr>
          <w:rFonts w:asciiTheme="majorHAnsi" w:hAnsiTheme="majorHAnsi"/>
        </w:rPr>
        <w:t>xxx</w:t>
      </w:r>
      <w:r w:rsidR="004873F6">
        <w:rPr>
          <w:rFonts w:asciiTheme="majorHAnsi" w:hAnsiTheme="majorHAnsi"/>
        </w:rPr>
        <w:t xml:space="preserve">  </w:t>
      </w:r>
    </w:p>
    <w:p w14:paraId="736CEB1B" w14:textId="77777777" w:rsidR="00FD139B" w:rsidRDefault="0076347B" w:rsidP="00FD139B">
      <w:pPr>
        <w:ind w:firstLine="720"/>
        <w:jc w:val="both"/>
        <w:rPr>
          <w:rFonts w:asciiTheme="majorHAnsi" w:hAnsiTheme="majorHAnsi"/>
        </w:rPr>
      </w:pPr>
      <w:r>
        <w:rPr>
          <w:rFonts w:asciiTheme="majorHAnsi" w:hAnsiTheme="majorHAnsi"/>
        </w:rPr>
        <w:t>The Principal Investigator</w:t>
      </w:r>
      <w:r w:rsidR="004773B8">
        <w:rPr>
          <w:rFonts w:asciiTheme="majorHAnsi" w:hAnsiTheme="majorHAnsi"/>
        </w:rPr>
        <w:t xml:space="preserve">, Dr. </w:t>
      </w:r>
      <w:sdt>
        <w:sdtPr>
          <w:rPr>
            <w:rFonts w:asciiTheme="majorHAnsi" w:hAnsiTheme="majorHAnsi"/>
          </w:rPr>
          <w:id w:val="23909627"/>
          <w:placeholder>
            <w:docPart w:val="DefaultPlaceholder_-1854013440"/>
          </w:placeholder>
          <w:text/>
        </w:sdtPr>
        <w:sdtEndPr/>
        <w:sdtContent>
          <w:r w:rsidR="00880A2B" w:rsidRPr="00926DE4">
            <w:rPr>
              <w:rFonts w:asciiTheme="majorHAnsi" w:hAnsiTheme="majorHAnsi"/>
            </w:rPr>
            <w:t>J</w:t>
          </w:r>
          <w:r w:rsidR="00926DE4" w:rsidRPr="00926DE4">
            <w:rPr>
              <w:rFonts w:asciiTheme="majorHAnsi" w:hAnsiTheme="majorHAnsi"/>
            </w:rPr>
            <w:t>ohn Doe</w:t>
          </w:r>
        </w:sdtContent>
      </w:sdt>
      <w:r w:rsidR="004773B8">
        <w:rPr>
          <w:rFonts w:asciiTheme="majorHAnsi" w:hAnsiTheme="majorHAnsi"/>
        </w:rPr>
        <w:t xml:space="preserve">, </w:t>
      </w:r>
      <w:r w:rsidR="00C3258D" w:rsidRPr="00926DE4">
        <w:rPr>
          <w:rFonts w:asciiTheme="majorHAnsi" w:hAnsiTheme="majorHAnsi"/>
        </w:rPr>
        <w:t>Associate</w:t>
      </w:r>
      <w:r w:rsidR="00B0642D">
        <w:rPr>
          <w:rFonts w:asciiTheme="majorHAnsi" w:hAnsiTheme="majorHAnsi"/>
        </w:rPr>
        <w:t xml:space="preserve"> </w:t>
      </w:r>
      <w:r w:rsidR="004773B8">
        <w:rPr>
          <w:rFonts w:asciiTheme="majorHAnsi" w:hAnsiTheme="majorHAnsi"/>
        </w:rPr>
        <w:t xml:space="preserve">Professor in </w:t>
      </w:r>
      <w:r w:rsidR="00F176AD" w:rsidRPr="00926DE4">
        <w:rPr>
          <w:rFonts w:asciiTheme="majorHAnsi" w:hAnsiTheme="majorHAnsi"/>
        </w:rPr>
        <w:t>Research</w:t>
      </w:r>
      <w:r w:rsidR="004773B8">
        <w:rPr>
          <w:rFonts w:asciiTheme="majorHAnsi" w:hAnsiTheme="majorHAnsi"/>
        </w:rPr>
        <w:t>,</w:t>
      </w:r>
      <w:r w:rsidR="0034355E">
        <w:rPr>
          <w:rFonts w:asciiTheme="majorHAnsi" w:hAnsiTheme="majorHAnsi"/>
        </w:rPr>
        <w:t xml:space="preserve"> is requesting </w:t>
      </w:r>
      <w:r w:rsidR="0034355E" w:rsidRPr="00926DE4">
        <w:rPr>
          <w:rFonts w:asciiTheme="majorHAnsi" w:hAnsiTheme="majorHAnsi"/>
        </w:rPr>
        <w:t>$</w:t>
      </w:r>
      <w:r w:rsidR="006E4100">
        <w:rPr>
          <w:rFonts w:asciiTheme="majorHAnsi" w:hAnsiTheme="majorHAnsi"/>
        </w:rPr>
        <w:t>x</w:t>
      </w:r>
      <w:r w:rsidR="00C3258D" w:rsidRPr="00926DE4">
        <w:rPr>
          <w:rFonts w:asciiTheme="majorHAnsi" w:hAnsiTheme="majorHAnsi"/>
        </w:rPr>
        <w:t xml:space="preserve"> over 24</w:t>
      </w:r>
      <w:r>
        <w:rPr>
          <w:rFonts w:asciiTheme="majorHAnsi" w:hAnsiTheme="majorHAnsi"/>
        </w:rPr>
        <w:t xml:space="preserve"> months</w:t>
      </w:r>
      <w:r w:rsidR="009A02F4">
        <w:rPr>
          <w:rFonts w:asciiTheme="majorHAnsi" w:hAnsiTheme="majorHAnsi"/>
        </w:rPr>
        <w:t>. The PI</w:t>
      </w:r>
      <w:r w:rsidR="0034355E">
        <w:rPr>
          <w:rFonts w:asciiTheme="majorHAnsi" w:hAnsiTheme="majorHAnsi"/>
        </w:rPr>
        <w:t xml:space="preserve"> will commit </w:t>
      </w:r>
      <w:r w:rsidR="00C3258D">
        <w:rPr>
          <w:rFonts w:asciiTheme="majorHAnsi" w:hAnsiTheme="majorHAnsi"/>
        </w:rPr>
        <w:t xml:space="preserve">0.5 </w:t>
      </w:r>
      <w:r w:rsidR="00305139">
        <w:rPr>
          <w:rFonts w:asciiTheme="majorHAnsi" w:hAnsiTheme="majorHAnsi"/>
        </w:rPr>
        <w:t xml:space="preserve">of an academic </w:t>
      </w:r>
      <w:proofErr w:type="gramStart"/>
      <w:r w:rsidR="00305139">
        <w:rPr>
          <w:rFonts w:asciiTheme="majorHAnsi" w:hAnsiTheme="majorHAnsi"/>
        </w:rPr>
        <w:t>month</w:t>
      </w:r>
      <w:proofErr w:type="gramEnd"/>
      <w:r w:rsidR="00C3258D">
        <w:rPr>
          <w:rFonts w:asciiTheme="majorHAnsi" w:hAnsiTheme="majorHAnsi"/>
        </w:rPr>
        <w:t xml:space="preserve"> each year of the project</w:t>
      </w:r>
      <w:r w:rsidR="009A02F4">
        <w:rPr>
          <w:rFonts w:asciiTheme="majorHAnsi" w:hAnsiTheme="majorHAnsi"/>
        </w:rPr>
        <w:t xml:space="preserve"> and</w:t>
      </w:r>
      <w:r w:rsidR="00C3258D">
        <w:rPr>
          <w:rFonts w:asciiTheme="majorHAnsi" w:hAnsiTheme="majorHAnsi"/>
        </w:rPr>
        <w:t xml:space="preserve"> is also requesting 1 </w:t>
      </w:r>
      <w:r w:rsidR="00062F78">
        <w:rPr>
          <w:rFonts w:asciiTheme="majorHAnsi" w:hAnsiTheme="majorHAnsi"/>
        </w:rPr>
        <w:t>summer</w:t>
      </w:r>
      <w:r w:rsidR="00C3258D">
        <w:rPr>
          <w:rFonts w:asciiTheme="majorHAnsi" w:hAnsiTheme="majorHAnsi"/>
        </w:rPr>
        <w:t xml:space="preserve"> month in Year 1 and 0.5 </w:t>
      </w:r>
      <w:r w:rsidR="00305139">
        <w:rPr>
          <w:rFonts w:asciiTheme="majorHAnsi" w:hAnsiTheme="majorHAnsi"/>
        </w:rPr>
        <w:t xml:space="preserve">of a </w:t>
      </w:r>
      <w:r w:rsidR="00062F78">
        <w:rPr>
          <w:rFonts w:asciiTheme="majorHAnsi" w:hAnsiTheme="majorHAnsi"/>
        </w:rPr>
        <w:t>summer</w:t>
      </w:r>
      <w:r w:rsidR="00305139">
        <w:rPr>
          <w:rFonts w:asciiTheme="majorHAnsi" w:hAnsiTheme="majorHAnsi"/>
        </w:rPr>
        <w:t xml:space="preserve"> month</w:t>
      </w:r>
      <w:r w:rsidR="00C3258D">
        <w:rPr>
          <w:rFonts w:asciiTheme="majorHAnsi" w:hAnsiTheme="majorHAnsi"/>
        </w:rPr>
        <w:t xml:space="preserve"> in Year 2. </w:t>
      </w:r>
      <w:r w:rsidR="00FD139B">
        <w:rPr>
          <w:rFonts w:asciiTheme="majorHAnsi" w:hAnsiTheme="majorHAnsi"/>
        </w:rPr>
        <w:t>Dr. Doe’s responsibilities include [</w:t>
      </w:r>
      <w:r w:rsidR="00FD139B" w:rsidRPr="00FD139B">
        <w:rPr>
          <w:rFonts w:asciiTheme="majorHAnsi" w:hAnsiTheme="majorHAnsi"/>
          <w:b/>
        </w:rPr>
        <w:t>ADD DETAIL HERE</w:t>
      </w:r>
      <w:r w:rsidR="00FD139B">
        <w:rPr>
          <w:rFonts w:asciiTheme="majorHAnsi" w:hAnsiTheme="majorHAnsi"/>
        </w:rPr>
        <w:t>].</w:t>
      </w:r>
    </w:p>
    <w:p w14:paraId="4C692B4C" w14:textId="39677B13" w:rsidR="00C3258D" w:rsidRPr="00FD139B" w:rsidRDefault="00FD139B" w:rsidP="00FD139B">
      <w:pPr>
        <w:pStyle w:val="ListParagraph"/>
        <w:numPr>
          <w:ilvl w:val="0"/>
          <w:numId w:val="4"/>
        </w:numPr>
        <w:jc w:val="both"/>
        <w:rPr>
          <w:rFonts w:asciiTheme="majorHAnsi" w:hAnsiTheme="majorHAnsi"/>
        </w:rPr>
      </w:pPr>
      <w:r w:rsidRPr="00FD139B">
        <w:rPr>
          <w:rFonts w:asciiTheme="majorHAnsi" w:hAnsiTheme="majorHAnsi"/>
          <w:b/>
        </w:rPr>
        <w:t>EXAMPLE:</w:t>
      </w:r>
      <w:r>
        <w:rPr>
          <w:rFonts w:asciiTheme="majorHAnsi" w:hAnsiTheme="majorHAnsi"/>
        </w:rPr>
        <w:t xml:space="preserve"> </w:t>
      </w:r>
      <w:r w:rsidRPr="00FD139B">
        <w:rPr>
          <w:rFonts w:asciiTheme="majorHAnsi" w:hAnsiTheme="majorHAnsi"/>
        </w:rPr>
        <w:t xml:space="preserve">Dr. Doe will be responsible for the overall coordination and supervision of all aspects of the study.  This includes hiring, training, and supervising staff/students; recruiting study participants; coordinating treatment and assessment components; scheduling and staff assignments; and data management.  In addition, she will conduct the orientation sessions, assist with statistical analyses, and be responsible for reporting the study’s findings.  </w:t>
      </w:r>
    </w:p>
    <w:p w14:paraId="372C9B5F" w14:textId="5AA2EB4D" w:rsidR="00EB1E10" w:rsidRPr="00EB1E10" w:rsidRDefault="00EB1E10" w:rsidP="003E7370">
      <w:pPr>
        <w:pStyle w:val="Heading2"/>
        <w:numPr>
          <w:ilvl w:val="0"/>
          <w:numId w:val="2"/>
        </w:numPr>
        <w:ind w:left="270" w:right="90" w:hanging="270"/>
      </w:pPr>
      <w:r>
        <w:t>Other Personnel | $</w:t>
      </w:r>
      <w:r w:rsidR="006E4100">
        <w:t>xxx</w:t>
      </w:r>
    </w:p>
    <w:p w14:paraId="7BB2C9DD" w14:textId="24DCCF80" w:rsidR="00EB1E10" w:rsidRDefault="00EB1E10" w:rsidP="00FD139B">
      <w:pPr>
        <w:ind w:firstLine="720"/>
        <w:jc w:val="both"/>
        <w:rPr>
          <w:rFonts w:asciiTheme="majorHAnsi" w:hAnsiTheme="majorHAnsi"/>
        </w:rPr>
      </w:pPr>
      <w:r>
        <w:rPr>
          <w:rFonts w:asciiTheme="majorHAnsi" w:hAnsiTheme="majorHAnsi"/>
        </w:rPr>
        <w:t>Funding for one Ph.D. graduate stu</w:t>
      </w:r>
      <w:r w:rsidR="00BF2FE5">
        <w:rPr>
          <w:rFonts w:asciiTheme="majorHAnsi" w:hAnsiTheme="majorHAnsi"/>
        </w:rPr>
        <w:t>dent is included during Year 1 and Year 2</w:t>
      </w:r>
      <w:r>
        <w:rPr>
          <w:rFonts w:asciiTheme="majorHAnsi" w:hAnsiTheme="majorHAnsi"/>
        </w:rPr>
        <w:t xml:space="preserve"> at</w:t>
      </w:r>
      <w:r w:rsidR="00F76B61">
        <w:rPr>
          <w:rFonts w:asciiTheme="majorHAnsi" w:hAnsiTheme="majorHAnsi"/>
        </w:rPr>
        <w:t xml:space="preserve"> a stipend of </w:t>
      </w:r>
      <w:r>
        <w:rPr>
          <w:rFonts w:asciiTheme="majorHAnsi" w:hAnsiTheme="majorHAnsi"/>
        </w:rPr>
        <w:t>$</w:t>
      </w:r>
      <w:r w:rsidR="00D72BA6">
        <w:rPr>
          <w:rFonts w:asciiTheme="majorHAnsi" w:hAnsiTheme="majorHAnsi"/>
        </w:rPr>
        <w:t>xxx</w:t>
      </w:r>
      <w:r>
        <w:rPr>
          <w:rFonts w:asciiTheme="majorHAnsi" w:hAnsiTheme="majorHAnsi"/>
        </w:rPr>
        <w:t xml:space="preserve"> per month during the academic year (9 months) on a Graduate Research Assistantship appointment. During the </w:t>
      </w:r>
      <w:r w:rsidR="00BF2FE5">
        <w:rPr>
          <w:rFonts w:asciiTheme="majorHAnsi" w:hAnsiTheme="majorHAnsi"/>
        </w:rPr>
        <w:t>summer</w:t>
      </w:r>
      <w:r>
        <w:rPr>
          <w:rFonts w:asciiTheme="majorHAnsi" w:hAnsiTheme="majorHAnsi"/>
        </w:rPr>
        <w:t xml:space="preserve"> semesters, the budget </w:t>
      </w:r>
      <w:r w:rsidR="00BF2FE5">
        <w:rPr>
          <w:rFonts w:asciiTheme="majorHAnsi" w:hAnsiTheme="majorHAnsi"/>
        </w:rPr>
        <w:t>includes</w:t>
      </w:r>
      <w:r>
        <w:rPr>
          <w:rFonts w:asciiTheme="majorHAnsi" w:hAnsiTheme="majorHAnsi"/>
        </w:rPr>
        <w:t xml:space="preserve"> $</w:t>
      </w:r>
      <w:r w:rsidR="00D72BA6">
        <w:rPr>
          <w:rFonts w:asciiTheme="majorHAnsi" w:hAnsiTheme="majorHAnsi"/>
        </w:rPr>
        <w:t>xxx</w:t>
      </w:r>
      <w:r>
        <w:rPr>
          <w:rFonts w:asciiTheme="majorHAnsi" w:hAnsiTheme="majorHAnsi"/>
        </w:rPr>
        <w:t xml:space="preserve"> a month for 3 months</w:t>
      </w:r>
      <w:r w:rsidR="00BF2FE5">
        <w:rPr>
          <w:rFonts w:asciiTheme="majorHAnsi" w:hAnsiTheme="majorHAnsi"/>
        </w:rPr>
        <w:t xml:space="preserve"> during each of Years 1 and 2 for the Ph.D. graduate student on hourly student payroll.</w:t>
      </w:r>
      <w:r w:rsidR="00FD139B">
        <w:rPr>
          <w:rFonts w:asciiTheme="majorHAnsi" w:hAnsiTheme="majorHAnsi"/>
        </w:rPr>
        <w:t xml:space="preserve"> </w:t>
      </w:r>
      <w:r w:rsidR="00B8385F">
        <w:rPr>
          <w:rFonts w:asciiTheme="majorHAnsi" w:hAnsiTheme="majorHAnsi"/>
        </w:rPr>
        <w:t xml:space="preserve">Each student on a Graduate Research Assistantship is to work 20 hours a week on their assigned research when on a full assistantship appointment. </w:t>
      </w:r>
      <w:r w:rsidR="00FD139B">
        <w:rPr>
          <w:rFonts w:asciiTheme="majorHAnsi" w:hAnsiTheme="majorHAnsi"/>
        </w:rPr>
        <w:t>The Ph.D. students’ responsibilities include [</w:t>
      </w:r>
      <w:r w:rsidR="00FD139B" w:rsidRPr="00FD139B">
        <w:rPr>
          <w:rFonts w:asciiTheme="majorHAnsi" w:hAnsiTheme="majorHAnsi"/>
          <w:b/>
        </w:rPr>
        <w:t>ADD DETAIL HERE</w:t>
      </w:r>
      <w:r w:rsidR="00FD139B">
        <w:rPr>
          <w:rFonts w:asciiTheme="majorHAnsi" w:hAnsiTheme="majorHAnsi"/>
        </w:rPr>
        <w:t>].</w:t>
      </w:r>
    </w:p>
    <w:p w14:paraId="31CA5E33" w14:textId="3074CFBF" w:rsidR="00BF2FE5" w:rsidRDefault="00BF2FE5" w:rsidP="00C3258D">
      <w:pPr>
        <w:ind w:firstLine="720"/>
        <w:jc w:val="both"/>
        <w:rPr>
          <w:rFonts w:asciiTheme="majorHAnsi" w:hAnsiTheme="majorHAnsi"/>
        </w:rPr>
      </w:pPr>
      <w:r>
        <w:rPr>
          <w:rFonts w:asciiTheme="majorHAnsi" w:hAnsiTheme="majorHAnsi"/>
        </w:rPr>
        <w:t xml:space="preserve">Funding for one M.S. graduate student at 50% on a Graduate Research Assistantship is budgeted at </w:t>
      </w:r>
      <w:r w:rsidR="00F76B61">
        <w:rPr>
          <w:rFonts w:asciiTheme="majorHAnsi" w:hAnsiTheme="majorHAnsi"/>
        </w:rPr>
        <w:t xml:space="preserve">a stipend of </w:t>
      </w:r>
      <w:r>
        <w:rPr>
          <w:rFonts w:asciiTheme="majorHAnsi" w:hAnsiTheme="majorHAnsi"/>
        </w:rPr>
        <w:t>$</w:t>
      </w:r>
      <w:r w:rsidR="00D72BA6">
        <w:rPr>
          <w:rFonts w:asciiTheme="majorHAnsi" w:hAnsiTheme="majorHAnsi"/>
        </w:rPr>
        <w:t>xxx</w:t>
      </w:r>
      <w:r>
        <w:rPr>
          <w:rFonts w:asciiTheme="majorHAnsi" w:hAnsiTheme="majorHAnsi"/>
        </w:rPr>
        <w:t xml:space="preserve"> ($</w:t>
      </w:r>
      <w:r w:rsidR="00D72BA6">
        <w:rPr>
          <w:rFonts w:asciiTheme="majorHAnsi" w:hAnsiTheme="majorHAnsi"/>
        </w:rPr>
        <w:t>xxx</w:t>
      </w:r>
      <w:r>
        <w:rPr>
          <w:rFonts w:asciiTheme="majorHAnsi" w:hAnsiTheme="majorHAnsi"/>
        </w:rPr>
        <w:t xml:space="preserve"> x 50%) per month during the academic year (9 months) for each of the Year</w:t>
      </w:r>
      <w:r w:rsidR="00F76B61">
        <w:rPr>
          <w:rFonts w:asciiTheme="majorHAnsi" w:hAnsiTheme="majorHAnsi"/>
        </w:rPr>
        <w:t>s</w:t>
      </w:r>
      <w:r>
        <w:rPr>
          <w:rFonts w:asciiTheme="majorHAnsi" w:hAnsiTheme="majorHAnsi"/>
        </w:rPr>
        <w:t xml:space="preserve"> 1 and Year 2. During the summer semesters, the budget includes $</w:t>
      </w:r>
      <w:r w:rsidR="00D72BA6">
        <w:rPr>
          <w:rFonts w:asciiTheme="majorHAnsi" w:hAnsiTheme="majorHAnsi"/>
        </w:rPr>
        <w:t>xxx</w:t>
      </w:r>
      <w:r>
        <w:rPr>
          <w:rFonts w:asciiTheme="majorHAnsi" w:hAnsiTheme="majorHAnsi"/>
        </w:rPr>
        <w:t xml:space="preserve"> per month for 3 months during each Year</w:t>
      </w:r>
      <w:r w:rsidR="00F76B61">
        <w:rPr>
          <w:rFonts w:asciiTheme="majorHAnsi" w:hAnsiTheme="majorHAnsi"/>
        </w:rPr>
        <w:t>s</w:t>
      </w:r>
      <w:r>
        <w:rPr>
          <w:rFonts w:asciiTheme="majorHAnsi" w:hAnsiTheme="majorHAnsi"/>
        </w:rPr>
        <w:t xml:space="preserve"> 1 and Year 2 for the M.S. graduate student on hourly student payroll. Each student on a Graduate Research Assistantship is to work 20 hours a week</w:t>
      </w:r>
      <w:r w:rsidR="00F76B61">
        <w:rPr>
          <w:rFonts w:asciiTheme="majorHAnsi" w:hAnsiTheme="majorHAnsi"/>
        </w:rPr>
        <w:t xml:space="preserve"> on their assigned research</w:t>
      </w:r>
      <w:r>
        <w:rPr>
          <w:rFonts w:asciiTheme="majorHAnsi" w:hAnsiTheme="majorHAnsi"/>
        </w:rPr>
        <w:t xml:space="preserve"> </w:t>
      </w:r>
      <w:r w:rsidR="004B3945">
        <w:rPr>
          <w:rFonts w:asciiTheme="majorHAnsi" w:hAnsiTheme="majorHAnsi"/>
        </w:rPr>
        <w:t>when on a full assistantship</w:t>
      </w:r>
      <w:r>
        <w:rPr>
          <w:rFonts w:asciiTheme="majorHAnsi" w:hAnsiTheme="majorHAnsi"/>
        </w:rPr>
        <w:t xml:space="preserve"> appointment. </w:t>
      </w:r>
      <w:r w:rsidR="00FD139B">
        <w:rPr>
          <w:rFonts w:asciiTheme="majorHAnsi" w:hAnsiTheme="majorHAnsi"/>
        </w:rPr>
        <w:t>The M.S. students’ responsibilities include [</w:t>
      </w:r>
      <w:r w:rsidR="00FD139B" w:rsidRPr="00FD139B">
        <w:rPr>
          <w:rFonts w:asciiTheme="majorHAnsi" w:hAnsiTheme="majorHAnsi"/>
          <w:b/>
        </w:rPr>
        <w:t>ADD DETAIL HERE</w:t>
      </w:r>
      <w:r w:rsidR="00FD139B">
        <w:rPr>
          <w:rFonts w:asciiTheme="majorHAnsi" w:hAnsiTheme="majorHAnsi"/>
        </w:rPr>
        <w:t>].</w:t>
      </w:r>
    </w:p>
    <w:p w14:paraId="75C98A2A" w14:textId="0B832DE5" w:rsidR="00C95450" w:rsidRDefault="00C95450" w:rsidP="00C3258D">
      <w:pPr>
        <w:ind w:firstLine="720"/>
        <w:jc w:val="both"/>
        <w:rPr>
          <w:rFonts w:asciiTheme="majorHAnsi" w:hAnsiTheme="majorHAnsi"/>
        </w:rPr>
      </w:pPr>
      <w:r>
        <w:rPr>
          <w:rFonts w:asciiTheme="majorHAnsi" w:hAnsiTheme="majorHAnsi"/>
        </w:rPr>
        <w:lastRenderedPageBreak/>
        <w:t xml:space="preserve">Funds for </w:t>
      </w:r>
      <w:r w:rsidR="00062F78">
        <w:rPr>
          <w:rFonts w:asciiTheme="majorHAnsi" w:hAnsiTheme="majorHAnsi"/>
        </w:rPr>
        <w:t>one undergraduate student have been budgeted at $</w:t>
      </w:r>
      <w:r w:rsidR="00D72BA6">
        <w:rPr>
          <w:rFonts w:asciiTheme="majorHAnsi" w:hAnsiTheme="majorHAnsi"/>
        </w:rPr>
        <w:t>xxx</w:t>
      </w:r>
      <w:r w:rsidR="00062F78">
        <w:rPr>
          <w:rFonts w:asciiTheme="majorHAnsi" w:hAnsiTheme="majorHAnsi"/>
        </w:rPr>
        <w:t xml:space="preserve"> over 24 months</w:t>
      </w:r>
      <w:r>
        <w:rPr>
          <w:rFonts w:asciiTheme="majorHAnsi" w:hAnsiTheme="majorHAnsi"/>
        </w:rPr>
        <w:t>.</w:t>
      </w:r>
      <w:r w:rsidR="00062F78">
        <w:rPr>
          <w:rFonts w:asciiTheme="majorHAnsi" w:hAnsiTheme="majorHAnsi"/>
        </w:rPr>
        <w:t xml:space="preserve"> The student has been budgeted to work </w:t>
      </w:r>
      <w:r w:rsidR="00D72BA6">
        <w:rPr>
          <w:rFonts w:asciiTheme="majorHAnsi" w:hAnsiTheme="majorHAnsi"/>
        </w:rPr>
        <w:t>xxx</w:t>
      </w:r>
      <w:r w:rsidR="00062F78">
        <w:rPr>
          <w:rFonts w:asciiTheme="majorHAnsi" w:hAnsiTheme="majorHAnsi"/>
        </w:rPr>
        <w:t xml:space="preserve"> hours in Year 1 and </w:t>
      </w:r>
      <w:r w:rsidR="00D72BA6">
        <w:rPr>
          <w:rFonts w:asciiTheme="majorHAnsi" w:hAnsiTheme="majorHAnsi"/>
        </w:rPr>
        <w:t>xxx</w:t>
      </w:r>
      <w:r w:rsidR="00062F78">
        <w:rPr>
          <w:rFonts w:asciiTheme="majorHAnsi" w:hAnsiTheme="majorHAnsi"/>
        </w:rPr>
        <w:t xml:space="preserve"> hours in Year 2 at an hourly rate of $</w:t>
      </w:r>
      <w:r w:rsidR="00D72BA6">
        <w:rPr>
          <w:rFonts w:asciiTheme="majorHAnsi" w:hAnsiTheme="majorHAnsi"/>
        </w:rPr>
        <w:t>xxx</w:t>
      </w:r>
      <w:r w:rsidR="00622F76">
        <w:rPr>
          <w:rFonts w:asciiTheme="majorHAnsi" w:hAnsiTheme="majorHAnsi"/>
        </w:rPr>
        <w:t xml:space="preserve"> to $xxx</w:t>
      </w:r>
      <w:r w:rsidR="00062F78">
        <w:rPr>
          <w:rFonts w:asciiTheme="majorHAnsi" w:hAnsiTheme="majorHAnsi"/>
        </w:rPr>
        <w:t xml:space="preserve"> per hour. </w:t>
      </w:r>
      <w:r w:rsidR="00622F76">
        <w:rPr>
          <w:rFonts w:asciiTheme="majorHAnsi" w:hAnsiTheme="majorHAnsi"/>
        </w:rPr>
        <w:t>The rate will be determined depending upon the complexity of the task being performed and the level of student.</w:t>
      </w:r>
      <w:r w:rsidR="00FD139B">
        <w:rPr>
          <w:rFonts w:asciiTheme="majorHAnsi" w:hAnsiTheme="majorHAnsi"/>
        </w:rPr>
        <w:t xml:space="preserve"> The undergraduate students’ responsibilities include [</w:t>
      </w:r>
      <w:r w:rsidR="00FD139B" w:rsidRPr="00FD139B">
        <w:rPr>
          <w:rFonts w:asciiTheme="majorHAnsi" w:hAnsiTheme="majorHAnsi"/>
          <w:b/>
        </w:rPr>
        <w:t>ADD DETAIL HERE</w:t>
      </w:r>
      <w:r w:rsidR="00FD139B">
        <w:rPr>
          <w:rFonts w:asciiTheme="majorHAnsi" w:hAnsiTheme="majorHAnsi"/>
        </w:rPr>
        <w:t>].</w:t>
      </w:r>
    </w:p>
    <w:p w14:paraId="2AA25829" w14:textId="094DA773" w:rsidR="00434910" w:rsidRPr="00C94352" w:rsidRDefault="00C3258D" w:rsidP="003E7370">
      <w:pPr>
        <w:pStyle w:val="Heading2"/>
        <w:numPr>
          <w:ilvl w:val="0"/>
          <w:numId w:val="2"/>
        </w:numPr>
        <w:ind w:left="270" w:right="90" w:hanging="270"/>
        <w:rPr>
          <w:b/>
        </w:rPr>
      </w:pPr>
      <w:r>
        <w:t>Fringe Benefits</w:t>
      </w:r>
      <w:r w:rsidR="00EB1E10">
        <w:t xml:space="preserve"> | $</w:t>
      </w:r>
      <w:r w:rsidR="006E4100">
        <w:t>xxx</w:t>
      </w:r>
    </w:p>
    <w:p w14:paraId="78905B22" w14:textId="77777777" w:rsidR="00F04C23" w:rsidRDefault="003B04D4" w:rsidP="00213572">
      <w:pPr>
        <w:ind w:firstLine="720"/>
        <w:jc w:val="both"/>
        <w:rPr>
          <w:rFonts w:asciiTheme="majorHAnsi" w:hAnsiTheme="majorHAnsi"/>
        </w:rPr>
      </w:pPr>
      <w:r>
        <w:rPr>
          <w:rFonts w:asciiTheme="majorHAnsi" w:hAnsiTheme="majorHAnsi"/>
        </w:rPr>
        <w:t>Faculty members are appointed on</w:t>
      </w:r>
      <w:r w:rsidR="00BC2B43">
        <w:rPr>
          <w:rFonts w:asciiTheme="majorHAnsi" w:hAnsiTheme="majorHAnsi"/>
        </w:rPr>
        <w:t xml:space="preserve"> </w:t>
      </w:r>
      <w:r w:rsidR="00062F78">
        <w:rPr>
          <w:rFonts w:asciiTheme="majorHAnsi" w:hAnsiTheme="majorHAnsi"/>
        </w:rPr>
        <w:t xml:space="preserve">a </w:t>
      </w:r>
      <w:r>
        <w:rPr>
          <w:rFonts w:asciiTheme="majorHAnsi" w:hAnsiTheme="majorHAnsi"/>
        </w:rPr>
        <w:t>9</w:t>
      </w:r>
      <w:r w:rsidR="00062F78">
        <w:rPr>
          <w:rFonts w:asciiTheme="majorHAnsi" w:hAnsiTheme="majorHAnsi"/>
        </w:rPr>
        <w:t>-month appointment</w:t>
      </w:r>
      <w:r>
        <w:rPr>
          <w:rFonts w:asciiTheme="majorHAnsi" w:hAnsiTheme="majorHAnsi"/>
        </w:rPr>
        <w:t xml:space="preserve"> during the</w:t>
      </w:r>
      <w:r w:rsidR="00062F78">
        <w:rPr>
          <w:rFonts w:asciiTheme="majorHAnsi" w:hAnsiTheme="majorHAnsi"/>
        </w:rPr>
        <w:t xml:space="preserve"> academic</w:t>
      </w:r>
      <w:r>
        <w:rPr>
          <w:rFonts w:asciiTheme="majorHAnsi" w:hAnsiTheme="majorHAnsi"/>
        </w:rPr>
        <w:t xml:space="preserve"> year. Benefits during that time period are FICA, Medicare, Group Insurance, and Retirement. Any time spent on research during the summer months does not carry the same benefit load since the group insurance is paid on the academic salary. Benefits assessed during the summer are FICA, Medicare and Retirement</w:t>
      </w:r>
      <w:r w:rsidR="00BC2B43">
        <w:rPr>
          <w:rFonts w:asciiTheme="majorHAnsi" w:hAnsiTheme="majorHAnsi"/>
        </w:rPr>
        <w:t xml:space="preserve">. </w:t>
      </w:r>
      <w:r w:rsidR="00062F78">
        <w:rPr>
          <w:rFonts w:asciiTheme="majorHAnsi" w:hAnsiTheme="majorHAnsi"/>
        </w:rPr>
        <w:t xml:space="preserve">Dr. </w:t>
      </w:r>
      <w:r w:rsidR="00BF2FE5">
        <w:rPr>
          <w:rFonts w:asciiTheme="majorHAnsi" w:hAnsiTheme="majorHAnsi"/>
        </w:rPr>
        <w:t>Doe’s</w:t>
      </w:r>
      <w:r w:rsidR="00062F78">
        <w:rPr>
          <w:rFonts w:asciiTheme="majorHAnsi" w:hAnsiTheme="majorHAnsi"/>
        </w:rPr>
        <w:t xml:space="preserve"> benefits are calculated at </w:t>
      </w:r>
      <w:r w:rsidR="00D72BA6">
        <w:rPr>
          <w:rFonts w:asciiTheme="majorHAnsi" w:hAnsiTheme="majorHAnsi"/>
        </w:rPr>
        <w:t>xxx</w:t>
      </w:r>
      <w:r w:rsidR="00062F78">
        <w:rPr>
          <w:rFonts w:asciiTheme="majorHAnsi" w:hAnsiTheme="majorHAnsi"/>
        </w:rPr>
        <w:t xml:space="preserve">% of summer pay and </w:t>
      </w:r>
      <w:r w:rsidR="00D72BA6">
        <w:rPr>
          <w:rFonts w:asciiTheme="majorHAnsi" w:hAnsiTheme="majorHAnsi"/>
        </w:rPr>
        <w:t>xxx</w:t>
      </w:r>
      <w:r w:rsidR="00062F78">
        <w:rPr>
          <w:rFonts w:asciiTheme="majorHAnsi" w:hAnsiTheme="majorHAnsi"/>
        </w:rPr>
        <w:t xml:space="preserve">% for work performed during the academic year or release time. </w:t>
      </w:r>
    </w:p>
    <w:p w14:paraId="6293178A" w14:textId="129131A0" w:rsidR="002F2759" w:rsidRDefault="00F04C23" w:rsidP="00485192">
      <w:pPr>
        <w:ind w:firstLine="720"/>
        <w:jc w:val="both"/>
        <w:rPr>
          <w:rFonts w:asciiTheme="majorHAnsi" w:hAnsiTheme="majorHAnsi"/>
        </w:rPr>
      </w:pPr>
      <w:r w:rsidRPr="00485192">
        <w:rPr>
          <w:rFonts w:asciiTheme="majorHAnsi" w:hAnsiTheme="majorHAnsi"/>
        </w:rPr>
        <w:t>The University follows IRS rules in determining a student's exemption from FICA withholding. When eligible, Social Security is withheld at 6.2% and Medicare at 1.45%, for a total tax of 7.65%. Student workers will be exempt from these payroll taxes if the student is enrolled full-time, a minimum of 6 credit hours, during the time the work is performed. Per IRS guidelines, if a student is non-taxable in any part of the month, the entire month is non-taxable.</w:t>
      </w:r>
      <w:r w:rsidR="002F2759" w:rsidRPr="00485192">
        <w:t xml:space="preserve"> </w:t>
      </w:r>
    </w:p>
    <w:p w14:paraId="6C745702" w14:textId="5A21608E" w:rsidR="007F1EEB" w:rsidRDefault="00F04C23" w:rsidP="00213572">
      <w:pPr>
        <w:ind w:firstLine="720"/>
        <w:jc w:val="both"/>
        <w:rPr>
          <w:rFonts w:asciiTheme="majorHAnsi" w:hAnsiTheme="majorHAnsi"/>
        </w:rPr>
      </w:pPr>
      <w:r>
        <w:rPr>
          <w:rFonts w:asciiTheme="majorHAnsi" w:hAnsiTheme="majorHAnsi"/>
        </w:rPr>
        <w:t xml:space="preserve"> </w:t>
      </w:r>
      <w:r w:rsidR="00062F78">
        <w:rPr>
          <w:rFonts w:asciiTheme="majorHAnsi" w:hAnsiTheme="majorHAnsi"/>
        </w:rPr>
        <w:t>These rates are not negotiated with the Division of Cost Allocation in the US Department of Health and Human Services, but are based on actual benefits paid as a percentage of salary.</w:t>
      </w:r>
      <w:r w:rsidR="00532AEF">
        <w:rPr>
          <w:rFonts w:asciiTheme="majorHAnsi" w:hAnsiTheme="majorHAnsi"/>
        </w:rPr>
        <w:t xml:space="preserve"> The project will be charged actual expenses.</w:t>
      </w:r>
    </w:p>
    <w:p w14:paraId="629ADF18" w14:textId="2F4002C8" w:rsidR="00967705" w:rsidRDefault="00967705" w:rsidP="00967705">
      <w:pPr>
        <w:pStyle w:val="Heading3"/>
        <w:tabs>
          <w:tab w:val="left" w:pos="6480"/>
        </w:tabs>
      </w:pPr>
      <w:r>
        <w:t>Graduate Student Maintenance Fees</w:t>
      </w:r>
      <w:r w:rsidR="005811F5">
        <w:t xml:space="preserve"> | $</w:t>
      </w:r>
      <w:r w:rsidR="006E4100">
        <w:t>xxx</w:t>
      </w:r>
    </w:p>
    <w:p w14:paraId="78675ECE" w14:textId="51D8A7F2" w:rsidR="00967705" w:rsidRPr="00967705" w:rsidRDefault="00C63679" w:rsidP="00967705">
      <w:pPr>
        <w:ind w:firstLine="720"/>
        <w:jc w:val="both"/>
        <w:rPr>
          <w:rFonts w:asciiTheme="majorHAnsi" w:hAnsiTheme="majorHAnsi"/>
        </w:rPr>
      </w:pPr>
      <w:r>
        <w:rPr>
          <w:rFonts w:asciiTheme="majorHAnsi" w:hAnsiTheme="majorHAnsi"/>
        </w:rPr>
        <w:t>No fringe benefits are charge</w:t>
      </w:r>
      <w:r w:rsidR="00014C40">
        <w:rPr>
          <w:rFonts w:asciiTheme="majorHAnsi" w:hAnsiTheme="majorHAnsi"/>
        </w:rPr>
        <w:t>d</w:t>
      </w:r>
      <w:r>
        <w:rPr>
          <w:rFonts w:asciiTheme="majorHAnsi" w:hAnsiTheme="majorHAnsi"/>
        </w:rPr>
        <w:t xml:space="preserve"> on graduate student stipends. </w:t>
      </w:r>
      <w:r w:rsidR="00967705" w:rsidRPr="00967705">
        <w:rPr>
          <w:rFonts w:asciiTheme="majorHAnsi" w:hAnsiTheme="majorHAnsi"/>
        </w:rPr>
        <w:t>The Graduate Student Maintenance Fees are paid from Employee Benefits</w:t>
      </w:r>
      <w:r w:rsidR="00967705">
        <w:rPr>
          <w:rFonts w:asciiTheme="majorHAnsi" w:hAnsiTheme="majorHAnsi"/>
        </w:rPr>
        <w:t xml:space="preserve"> and are budgeted for the Ph.D. and M.S. graduate students for each of the two years of the project and are part of the Graduate</w:t>
      </w:r>
      <w:r w:rsidR="00BF7271">
        <w:rPr>
          <w:rFonts w:asciiTheme="majorHAnsi" w:hAnsiTheme="majorHAnsi"/>
        </w:rPr>
        <w:t xml:space="preserve"> Research Assistantships. The graduate student maintenance fees are estimated to be $</w:t>
      </w:r>
      <w:r w:rsidR="006E4100">
        <w:rPr>
          <w:rFonts w:asciiTheme="majorHAnsi" w:hAnsiTheme="majorHAnsi"/>
        </w:rPr>
        <w:t>xxx</w:t>
      </w:r>
      <w:r w:rsidR="00BF7271">
        <w:rPr>
          <w:rFonts w:asciiTheme="majorHAnsi" w:hAnsiTheme="majorHAnsi"/>
        </w:rPr>
        <w:t xml:space="preserve"> per year per graduate student appointed full time during academic Year 1. Fees are calculated at the in-state rate of 9 credit hours each semester and include a $</w:t>
      </w:r>
      <w:r w:rsidR="006E4100">
        <w:rPr>
          <w:rFonts w:asciiTheme="majorHAnsi" w:hAnsiTheme="majorHAnsi"/>
        </w:rPr>
        <w:t>xx</w:t>
      </w:r>
      <w:r w:rsidR="00BF7271">
        <w:rPr>
          <w:rFonts w:asciiTheme="majorHAnsi" w:hAnsiTheme="majorHAnsi"/>
        </w:rPr>
        <w:t xml:space="preserve">/credit hour charge for those enrolled in Engineering courses. While current rates are published on the </w:t>
      </w:r>
      <w:r w:rsidR="00C847C6">
        <w:rPr>
          <w:rFonts w:asciiTheme="majorHAnsi" w:hAnsiTheme="majorHAnsi"/>
        </w:rPr>
        <w:t>Tn Tech</w:t>
      </w:r>
      <w:r w:rsidR="00BF7271">
        <w:rPr>
          <w:rFonts w:asciiTheme="majorHAnsi" w:hAnsiTheme="majorHAnsi"/>
        </w:rPr>
        <w:t xml:space="preserve"> website, the calculation for fees includes an expected increase of 6% each year.</w:t>
      </w:r>
    </w:p>
    <w:p w14:paraId="7EACE8DB" w14:textId="65D0CA32" w:rsidR="00EB7236" w:rsidRDefault="00EB7236" w:rsidP="003E7370">
      <w:pPr>
        <w:pStyle w:val="Heading2"/>
        <w:numPr>
          <w:ilvl w:val="0"/>
          <w:numId w:val="2"/>
        </w:numPr>
        <w:ind w:left="270" w:right="90" w:hanging="270"/>
      </w:pPr>
      <w:r>
        <w:t>Equipment |</w:t>
      </w:r>
      <w:r w:rsidR="00413F53">
        <w:t>$</w:t>
      </w:r>
      <w:r w:rsidR="006E4100">
        <w:t>xxx</w:t>
      </w:r>
    </w:p>
    <w:p w14:paraId="36E8348B" w14:textId="31BA7AC2" w:rsidR="00EB7236" w:rsidRDefault="00A947CB" w:rsidP="00413F53">
      <w:pPr>
        <w:ind w:firstLine="720"/>
        <w:jc w:val="both"/>
        <w:rPr>
          <w:rFonts w:asciiTheme="majorHAnsi" w:hAnsiTheme="majorHAnsi"/>
        </w:rPr>
      </w:pPr>
      <w:r w:rsidRPr="00A947CB">
        <w:rPr>
          <w:rFonts w:asciiTheme="majorHAnsi" w:hAnsiTheme="majorHAnsi"/>
        </w:rPr>
        <w:t>Funds are being requested for the purchase of a server in year one. The requested amount for this equipment is based on currently contracted vendor-provided pricing and consultation with T</w:t>
      </w:r>
      <w:r w:rsidR="00C847C6">
        <w:rPr>
          <w:rFonts w:asciiTheme="majorHAnsi" w:hAnsiTheme="majorHAnsi"/>
        </w:rPr>
        <w:t>n Tech</w:t>
      </w:r>
      <w:r w:rsidRPr="00A947CB">
        <w:rPr>
          <w:rFonts w:asciiTheme="majorHAnsi" w:hAnsiTheme="majorHAnsi"/>
        </w:rPr>
        <w:t>’s Information Technology Services group. The server is needed to store sensitive experimental data. The server will serve as a secure staging local repository for development of low scale and short-term data and analysis. Data from classroom recordings also needs to be secured and isolated both physically and logically and from the general campus network to ensure no personal data is exposed. In addition to access controls like authorization and authentication, the server will be placed in a secure area with limited access.</w:t>
      </w:r>
    </w:p>
    <w:p w14:paraId="4529B7F9" w14:textId="0009AD57" w:rsidR="00A41E14" w:rsidRDefault="00A41E14" w:rsidP="00A41E14">
      <w:pPr>
        <w:ind w:firstLine="720"/>
        <w:jc w:val="both"/>
        <w:rPr>
          <w:rFonts w:asciiTheme="majorHAnsi" w:hAnsiTheme="majorHAnsi"/>
        </w:rPr>
      </w:pPr>
      <w:r>
        <w:rPr>
          <w:rFonts w:asciiTheme="majorHAnsi" w:hAnsiTheme="majorHAnsi"/>
        </w:rPr>
        <w:t>No equipment requested</w:t>
      </w:r>
      <w:r w:rsidRPr="00A947CB">
        <w:rPr>
          <w:rFonts w:asciiTheme="majorHAnsi" w:hAnsiTheme="majorHAnsi"/>
        </w:rPr>
        <w:t>.</w:t>
      </w:r>
      <w:r w:rsidRPr="003B4D9C">
        <w:t xml:space="preserve"> </w:t>
      </w:r>
      <w:r w:rsidRPr="003B4D9C">
        <w:rPr>
          <w:rFonts w:asciiTheme="majorHAnsi" w:hAnsiTheme="majorHAnsi"/>
        </w:rPr>
        <w:t>To meet the definition of equipment, the property must have a useful life of more than a year and an acquisition cost of more than $5,000 per unit.</w:t>
      </w:r>
    </w:p>
    <w:p w14:paraId="0E4B94D0" w14:textId="77777777" w:rsidR="00485192" w:rsidRPr="00413F53" w:rsidRDefault="00485192" w:rsidP="00A41E14">
      <w:pPr>
        <w:ind w:firstLine="720"/>
        <w:jc w:val="both"/>
        <w:rPr>
          <w:rFonts w:asciiTheme="majorHAnsi" w:hAnsiTheme="majorHAnsi"/>
        </w:rPr>
      </w:pPr>
    </w:p>
    <w:p w14:paraId="56A1FC03" w14:textId="6C79EC97" w:rsidR="00541B70" w:rsidRDefault="00C3258D" w:rsidP="003E7370">
      <w:pPr>
        <w:pStyle w:val="Heading2"/>
        <w:numPr>
          <w:ilvl w:val="0"/>
          <w:numId w:val="2"/>
        </w:numPr>
        <w:ind w:left="270" w:right="90" w:hanging="270"/>
      </w:pPr>
      <w:r>
        <w:lastRenderedPageBreak/>
        <w:t>Travel</w:t>
      </w:r>
      <w:r w:rsidR="00EB7236">
        <w:t xml:space="preserve"> | </w:t>
      </w:r>
      <w:r w:rsidR="00541B70">
        <w:t>$</w:t>
      </w:r>
      <w:r w:rsidR="006E4100">
        <w:t>xxx</w:t>
      </w:r>
    </w:p>
    <w:p w14:paraId="0CA9C48B" w14:textId="2DEABB63" w:rsidR="00541B70" w:rsidRDefault="00541B70" w:rsidP="00541B70">
      <w:pPr>
        <w:ind w:firstLine="720"/>
        <w:jc w:val="both"/>
        <w:rPr>
          <w:rFonts w:asciiTheme="majorHAnsi" w:hAnsiTheme="majorHAnsi"/>
          <w:bCs/>
        </w:rPr>
      </w:pPr>
      <w:r w:rsidRPr="00C26191">
        <w:rPr>
          <w:rFonts w:asciiTheme="majorHAnsi" w:hAnsiTheme="majorHAnsi"/>
          <w:bCs/>
        </w:rPr>
        <w:t xml:space="preserve">Travel costs are </w:t>
      </w:r>
      <w:r w:rsidR="00062F78">
        <w:rPr>
          <w:rFonts w:asciiTheme="majorHAnsi" w:hAnsiTheme="majorHAnsi"/>
          <w:bCs/>
        </w:rPr>
        <w:t>set</w:t>
      </w:r>
      <w:r w:rsidRPr="00C26191">
        <w:rPr>
          <w:rFonts w:asciiTheme="majorHAnsi" w:hAnsiTheme="majorHAnsi"/>
          <w:bCs/>
        </w:rPr>
        <w:t xml:space="preserve"> by the State of TN Dept. of Finance and Administration regulations </w:t>
      </w:r>
      <w:r w:rsidR="00062F78">
        <w:rPr>
          <w:rFonts w:asciiTheme="majorHAnsi" w:hAnsiTheme="majorHAnsi"/>
          <w:bCs/>
        </w:rPr>
        <w:t>and Tennessee Tech policy</w:t>
      </w:r>
      <w:r w:rsidR="00A8344B">
        <w:rPr>
          <w:rFonts w:asciiTheme="majorHAnsi" w:hAnsiTheme="majorHAnsi"/>
          <w:bCs/>
        </w:rPr>
        <w:t xml:space="preserve"> with all in-state travel having</w:t>
      </w:r>
      <w:r w:rsidRPr="00C26191">
        <w:rPr>
          <w:rFonts w:asciiTheme="majorHAnsi" w:hAnsiTheme="majorHAnsi"/>
          <w:bCs/>
        </w:rPr>
        <w:t xml:space="preserve"> its special set of limits. At present mileage is reimbursed at the rate of $0.47/mile. Out of-state travel limits are set by CONUS rates on the government website</w:t>
      </w:r>
      <w:r w:rsidR="00A8344B">
        <w:rPr>
          <w:rFonts w:asciiTheme="majorHAnsi" w:hAnsiTheme="majorHAnsi"/>
          <w:bCs/>
        </w:rPr>
        <w:t xml:space="preserve"> and may include ground transportation, air fare, baggage, fees, lodging, per diem, parking and registration</w:t>
      </w:r>
      <w:r w:rsidRPr="00C26191">
        <w:rPr>
          <w:rFonts w:asciiTheme="majorHAnsi" w:hAnsiTheme="majorHAnsi"/>
          <w:bCs/>
        </w:rPr>
        <w:t>.</w:t>
      </w:r>
      <w:r w:rsidR="006E1674">
        <w:rPr>
          <w:rFonts w:asciiTheme="majorHAnsi" w:hAnsiTheme="majorHAnsi"/>
          <w:bCs/>
        </w:rPr>
        <w:t xml:space="preserve"> </w:t>
      </w:r>
    </w:p>
    <w:p w14:paraId="2123A16E" w14:textId="5FCFB981" w:rsidR="00A8344B" w:rsidRDefault="008B266C" w:rsidP="00541B70">
      <w:pPr>
        <w:ind w:firstLine="720"/>
        <w:jc w:val="both"/>
        <w:rPr>
          <w:rFonts w:asciiTheme="majorHAnsi" w:hAnsiTheme="majorHAnsi"/>
          <w:bCs/>
        </w:rPr>
      </w:pPr>
      <w:r>
        <w:rPr>
          <w:rFonts w:asciiTheme="majorHAnsi" w:hAnsiTheme="majorHAnsi"/>
          <w:bCs/>
        </w:rPr>
        <w:t>The PI along with the Ph.D</w:t>
      </w:r>
      <w:r w:rsidR="00E147D0">
        <w:rPr>
          <w:rFonts w:asciiTheme="majorHAnsi" w:hAnsiTheme="majorHAnsi"/>
          <w:bCs/>
        </w:rPr>
        <w:t>.</w:t>
      </w:r>
      <w:r>
        <w:rPr>
          <w:rFonts w:asciiTheme="majorHAnsi" w:hAnsiTheme="majorHAnsi"/>
          <w:bCs/>
        </w:rPr>
        <w:t xml:space="preserve"> student will attend smart materials related conferences to disseminate research results which is estimated at $</w:t>
      </w:r>
      <w:r w:rsidR="006E4100">
        <w:rPr>
          <w:rFonts w:asciiTheme="majorHAnsi" w:hAnsiTheme="majorHAnsi"/>
          <w:bCs/>
        </w:rPr>
        <w:t>xxx</w:t>
      </w:r>
      <w:r>
        <w:rPr>
          <w:rFonts w:asciiTheme="majorHAnsi" w:hAnsiTheme="majorHAnsi"/>
          <w:bCs/>
        </w:rPr>
        <w:t xml:space="preserve"> per trip</w:t>
      </w:r>
      <w:r w:rsidR="00686A35">
        <w:rPr>
          <w:rFonts w:asciiTheme="majorHAnsi" w:hAnsiTheme="majorHAnsi"/>
          <w:bCs/>
        </w:rPr>
        <w:t>.</w:t>
      </w:r>
    </w:p>
    <w:p w14:paraId="46ECEF91" w14:textId="34BB43D4" w:rsidR="00E55308" w:rsidRDefault="00E55308" w:rsidP="00541B70">
      <w:pPr>
        <w:ind w:firstLine="720"/>
        <w:jc w:val="both"/>
        <w:rPr>
          <w:rFonts w:asciiTheme="majorHAnsi" w:hAnsiTheme="majorHAnsi"/>
          <w:bCs/>
        </w:rPr>
      </w:pPr>
      <w:r w:rsidRPr="00E55308">
        <w:rPr>
          <w:noProof/>
        </w:rPr>
        <w:drawing>
          <wp:inline distT="0" distB="0" distL="0" distR="0" wp14:anchorId="020F93D1" wp14:editId="2C08897B">
            <wp:extent cx="4028440" cy="88721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3875" cy="892818"/>
                    </a:xfrm>
                    <a:prstGeom prst="rect">
                      <a:avLst/>
                    </a:prstGeom>
                    <a:noFill/>
                    <a:ln>
                      <a:noFill/>
                    </a:ln>
                  </pic:spPr>
                </pic:pic>
              </a:graphicData>
            </a:graphic>
          </wp:inline>
        </w:drawing>
      </w:r>
    </w:p>
    <w:p w14:paraId="2C5298B0" w14:textId="0F8EFAF9" w:rsidR="00DD0AAC" w:rsidRDefault="00DD0AAC" w:rsidP="00DD0AAC">
      <w:pPr>
        <w:jc w:val="both"/>
        <w:rPr>
          <w:rFonts w:asciiTheme="majorHAnsi" w:hAnsiTheme="majorHAnsi"/>
          <w:bCs/>
        </w:rPr>
      </w:pPr>
      <w:r w:rsidRPr="00DD0AAC">
        <w:rPr>
          <w:rFonts w:asciiTheme="majorHAnsi" w:hAnsiTheme="majorHAnsi"/>
          <w:b/>
          <w:bCs/>
        </w:rPr>
        <w:t>Note:</w:t>
      </w:r>
      <w:r>
        <w:rPr>
          <w:rFonts w:asciiTheme="majorHAnsi" w:hAnsiTheme="majorHAnsi"/>
          <w:bCs/>
        </w:rPr>
        <w:t xml:space="preserve"> </w:t>
      </w:r>
      <w:r w:rsidRPr="00DD0AAC">
        <w:rPr>
          <w:rFonts w:asciiTheme="majorHAnsi" w:hAnsiTheme="majorHAnsi"/>
          <w:bCs/>
        </w:rPr>
        <w:t>Meals are generally unallowable unless they are an integral part of a conference grant or specifically stated as an allowable expense in the FOA.</w:t>
      </w:r>
    </w:p>
    <w:p w14:paraId="4AEAAD64" w14:textId="24EA4D7C" w:rsidR="00611D6B" w:rsidRDefault="009A6821" w:rsidP="003E7370">
      <w:pPr>
        <w:pStyle w:val="Heading2"/>
        <w:numPr>
          <w:ilvl w:val="0"/>
          <w:numId w:val="2"/>
        </w:numPr>
        <w:ind w:left="270" w:right="90" w:hanging="270"/>
      </w:pPr>
      <w:r>
        <w:t xml:space="preserve">Participant Support </w:t>
      </w:r>
      <w:r w:rsidR="00A947CB">
        <w:t xml:space="preserve">Costs </w:t>
      </w:r>
      <w:r>
        <w:t>| $</w:t>
      </w:r>
      <w:r w:rsidR="006E4100">
        <w:t>xxx</w:t>
      </w:r>
    </w:p>
    <w:p w14:paraId="00747A3B" w14:textId="7303B9C6" w:rsidR="00A947CB" w:rsidRPr="00A947CB" w:rsidRDefault="00A947CB" w:rsidP="00A947CB">
      <w:pPr>
        <w:ind w:firstLine="720"/>
        <w:jc w:val="both"/>
        <w:rPr>
          <w:rFonts w:asciiTheme="majorHAnsi" w:hAnsiTheme="majorHAnsi"/>
          <w:bCs/>
        </w:rPr>
      </w:pPr>
      <w:r w:rsidRPr="00A947CB">
        <w:rPr>
          <w:rFonts w:asciiTheme="majorHAnsi" w:hAnsiTheme="majorHAnsi"/>
          <w:bCs/>
        </w:rPr>
        <w:t>To support this effort and the participating students, a total of $</w:t>
      </w:r>
      <w:r w:rsidR="006E4100">
        <w:rPr>
          <w:rFonts w:asciiTheme="majorHAnsi" w:hAnsiTheme="majorHAnsi"/>
          <w:bCs/>
        </w:rPr>
        <w:t>xxx</w:t>
      </w:r>
      <w:r w:rsidRPr="00A947CB">
        <w:rPr>
          <w:rFonts w:asciiTheme="majorHAnsi" w:hAnsiTheme="majorHAnsi"/>
          <w:bCs/>
        </w:rPr>
        <w:t xml:space="preserve"> is budgeted for </w:t>
      </w:r>
      <w:r w:rsidR="00564D87">
        <w:rPr>
          <w:rFonts w:asciiTheme="majorHAnsi" w:hAnsiTheme="majorHAnsi"/>
          <w:bCs/>
        </w:rPr>
        <w:t>Y</w:t>
      </w:r>
      <w:r w:rsidRPr="00A947CB">
        <w:rPr>
          <w:rFonts w:asciiTheme="majorHAnsi" w:hAnsiTheme="majorHAnsi"/>
          <w:bCs/>
        </w:rPr>
        <w:t xml:space="preserve">ear 1 with years 2 and 3 including a </w:t>
      </w:r>
      <w:r w:rsidR="006E4100">
        <w:rPr>
          <w:rFonts w:asciiTheme="majorHAnsi" w:hAnsiTheme="majorHAnsi"/>
          <w:bCs/>
        </w:rPr>
        <w:t>x</w:t>
      </w:r>
      <w:r w:rsidRPr="00A947CB">
        <w:rPr>
          <w:rFonts w:asciiTheme="majorHAnsi" w:hAnsiTheme="majorHAnsi"/>
          <w:bCs/>
        </w:rPr>
        <w:t xml:space="preserve">% escalation on food and lodging. The following estimates are based on current rates and assumes students will be housed in double rooms. A summer program is planned consisting of 8 students which will be trained over 8 weeks. </w:t>
      </w:r>
    </w:p>
    <w:p w14:paraId="058B96BC" w14:textId="793EB0EF" w:rsidR="00A947CB" w:rsidRPr="00A947CB" w:rsidRDefault="00A947CB" w:rsidP="00A947CB">
      <w:pPr>
        <w:ind w:firstLine="720"/>
        <w:jc w:val="both"/>
        <w:rPr>
          <w:rFonts w:asciiTheme="majorHAnsi" w:hAnsiTheme="majorHAnsi"/>
          <w:bCs/>
        </w:rPr>
      </w:pPr>
      <w:r w:rsidRPr="00564D87">
        <w:rPr>
          <w:rFonts w:asciiTheme="majorHAnsi" w:hAnsiTheme="majorHAnsi"/>
          <w:b/>
          <w:bCs/>
        </w:rPr>
        <w:t>Stipends – $</w:t>
      </w:r>
      <w:r w:rsidR="006E4100">
        <w:rPr>
          <w:rFonts w:asciiTheme="majorHAnsi" w:hAnsiTheme="majorHAnsi"/>
          <w:b/>
          <w:bCs/>
        </w:rPr>
        <w:t>xxx</w:t>
      </w:r>
      <w:r w:rsidRPr="00A947CB">
        <w:rPr>
          <w:rFonts w:asciiTheme="majorHAnsi" w:hAnsiTheme="majorHAnsi"/>
          <w:bCs/>
        </w:rPr>
        <w:t>: Each student will be given a stipend of $</w:t>
      </w:r>
      <w:r w:rsidR="006E4100">
        <w:rPr>
          <w:rFonts w:asciiTheme="majorHAnsi" w:hAnsiTheme="majorHAnsi"/>
          <w:bCs/>
        </w:rPr>
        <w:t>xxx</w:t>
      </w:r>
      <w:r w:rsidRPr="00A947CB">
        <w:rPr>
          <w:rFonts w:asciiTheme="majorHAnsi" w:hAnsiTheme="majorHAnsi"/>
          <w:bCs/>
        </w:rPr>
        <w:t>/week for a total of $</w:t>
      </w:r>
      <w:r w:rsidR="006E4100">
        <w:rPr>
          <w:rFonts w:asciiTheme="majorHAnsi" w:hAnsiTheme="majorHAnsi"/>
          <w:bCs/>
        </w:rPr>
        <w:t>xxx</w:t>
      </w:r>
      <w:r w:rsidRPr="00A947CB">
        <w:rPr>
          <w:rFonts w:asciiTheme="majorHAnsi" w:hAnsiTheme="majorHAnsi"/>
          <w:bCs/>
        </w:rPr>
        <w:t xml:space="preserve"> for each student or $</w:t>
      </w:r>
      <w:r w:rsidR="006E4100">
        <w:rPr>
          <w:rFonts w:asciiTheme="majorHAnsi" w:hAnsiTheme="majorHAnsi"/>
          <w:bCs/>
        </w:rPr>
        <w:t>xxx</w:t>
      </w:r>
      <w:r w:rsidRPr="00A947CB">
        <w:rPr>
          <w:rFonts w:asciiTheme="majorHAnsi" w:hAnsiTheme="majorHAnsi"/>
          <w:bCs/>
        </w:rPr>
        <w:t>/year total for 8 students.</w:t>
      </w:r>
    </w:p>
    <w:p w14:paraId="5A9B6BE0" w14:textId="6E4613F6" w:rsidR="00A947CB" w:rsidRPr="00A947CB" w:rsidRDefault="00A947CB" w:rsidP="00A947CB">
      <w:pPr>
        <w:ind w:firstLine="720"/>
        <w:jc w:val="both"/>
        <w:rPr>
          <w:rFonts w:asciiTheme="majorHAnsi" w:hAnsiTheme="majorHAnsi"/>
          <w:bCs/>
        </w:rPr>
      </w:pPr>
      <w:r w:rsidRPr="00564D87">
        <w:rPr>
          <w:rFonts w:asciiTheme="majorHAnsi" w:hAnsiTheme="majorHAnsi"/>
          <w:b/>
          <w:bCs/>
        </w:rPr>
        <w:t>Lodging – $</w:t>
      </w:r>
      <w:r w:rsidR="006E4100">
        <w:rPr>
          <w:rFonts w:asciiTheme="majorHAnsi" w:hAnsiTheme="majorHAnsi"/>
          <w:b/>
          <w:bCs/>
        </w:rPr>
        <w:t>xxx</w:t>
      </w:r>
      <w:r w:rsidRPr="00A947CB">
        <w:rPr>
          <w:rFonts w:asciiTheme="majorHAnsi" w:hAnsiTheme="majorHAnsi"/>
          <w:bCs/>
        </w:rPr>
        <w:t xml:space="preserve">: Housing for double room occupancy on the </w:t>
      </w:r>
      <w:r w:rsidR="00C847C6">
        <w:rPr>
          <w:rFonts w:asciiTheme="majorHAnsi" w:hAnsiTheme="majorHAnsi"/>
          <w:bCs/>
        </w:rPr>
        <w:t>Tennessee Tech</w:t>
      </w:r>
      <w:r w:rsidRPr="00A947CB">
        <w:rPr>
          <w:rFonts w:asciiTheme="majorHAnsi" w:hAnsiTheme="majorHAnsi"/>
          <w:bCs/>
        </w:rPr>
        <w:t xml:space="preserve"> campus is $</w:t>
      </w:r>
      <w:r w:rsidR="006E4100">
        <w:rPr>
          <w:rFonts w:asciiTheme="majorHAnsi" w:hAnsiTheme="majorHAnsi"/>
          <w:bCs/>
        </w:rPr>
        <w:t>xxx</w:t>
      </w:r>
      <w:r w:rsidRPr="00A947CB">
        <w:rPr>
          <w:rFonts w:asciiTheme="majorHAnsi" w:hAnsiTheme="majorHAnsi"/>
          <w:bCs/>
        </w:rPr>
        <w:t>/week or $</w:t>
      </w:r>
      <w:r w:rsidR="006E4100">
        <w:rPr>
          <w:rFonts w:asciiTheme="majorHAnsi" w:hAnsiTheme="majorHAnsi"/>
          <w:bCs/>
        </w:rPr>
        <w:t>xxx</w:t>
      </w:r>
      <w:r w:rsidRPr="00A947CB">
        <w:rPr>
          <w:rFonts w:asciiTheme="majorHAnsi" w:hAnsiTheme="majorHAnsi"/>
          <w:bCs/>
        </w:rPr>
        <w:t xml:space="preserve"> per student for 8 weeks. If a student decides to stay in campus housing, the housing will be paid directly by internal transfer. If they choose to stay off-campus, this will be paid in installments along with their stipend. A</w:t>
      </w:r>
      <w:r w:rsidR="006E4100">
        <w:rPr>
          <w:rFonts w:asciiTheme="majorHAnsi" w:hAnsiTheme="majorHAnsi"/>
          <w:bCs/>
        </w:rPr>
        <w:t xml:space="preserve"> x</w:t>
      </w:r>
      <w:r w:rsidRPr="00A947CB">
        <w:rPr>
          <w:rFonts w:asciiTheme="majorHAnsi" w:hAnsiTheme="majorHAnsi"/>
          <w:bCs/>
        </w:rPr>
        <w:t>% escalation has been included for years 2 and 3.</w:t>
      </w:r>
    </w:p>
    <w:p w14:paraId="16C2C72E" w14:textId="7AB13A47" w:rsidR="00A947CB" w:rsidRPr="00A947CB" w:rsidRDefault="00A947CB" w:rsidP="00A947CB">
      <w:pPr>
        <w:ind w:firstLine="720"/>
        <w:jc w:val="both"/>
        <w:rPr>
          <w:rFonts w:asciiTheme="majorHAnsi" w:hAnsiTheme="majorHAnsi"/>
          <w:bCs/>
        </w:rPr>
      </w:pPr>
      <w:r w:rsidRPr="00564D87">
        <w:rPr>
          <w:rFonts w:asciiTheme="majorHAnsi" w:hAnsiTheme="majorHAnsi"/>
          <w:b/>
          <w:bCs/>
        </w:rPr>
        <w:t>Meals – $</w:t>
      </w:r>
      <w:r w:rsidR="006E4100">
        <w:rPr>
          <w:rFonts w:asciiTheme="majorHAnsi" w:hAnsiTheme="majorHAnsi"/>
          <w:b/>
          <w:bCs/>
        </w:rPr>
        <w:t>xxx</w:t>
      </w:r>
      <w:r w:rsidRPr="00A947CB">
        <w:rPr>
          <w:rFonts w:asciiTheme="majorHAnsi" w:hAnsiTheme="majorHAnsi"/>
          <w:bCs/>
        </w:rPr>
        <w:t>: Each student will receive $</w:t>
      </w:r>
      <w:r w:rsidR="006E4100">
        <w:rPr>
          <w:rFonts w:asciiTheme="majorHAnsi" w:hAnsiTheme="majorHAnsi"/>
          <w:bCs/>
        </w:rPr>
        <w:t>xxx</w:t>
      </w:r>
      <w:r w:rsidRPr="00A947CB">
        <w:rPr>
          <w:rFonts w:asciiTheme="majorHAnsi" w:hAnsiTheme="majorHAnsi"/>
          <w:bCs/>
        </w:rPr>
        <w:t>/day for 7 days for 8 weeks to include $</w:t>
      </w:r>
      <w:r w:rsidR="006E4100">
        <w:rPr>
          <w:rFonts w:asciiTheme="majorHAnsi" w:hAnsiTheme="majorHAnsi"/>
          <w:bCs/>
        </w:rPr>
        <w:t>xxx</w:t>
      </w:r>
      <w:r w:rsidRPr="00A947CB">
        <w:rPr>
          <w:rFonts w:asciiTheme="majorHAnsi" w:hAnsiTheme="majorHAnsi"/>
          <w:bCs/>
        </w:rPr>
        <w:t xml:space="preserve"> for breakfast, $</w:t>
      </w:r>
      <w:r w:rsidR="006E4100">
        <w:rPr>
          <w:rFonts w:asciiTheme="majorHAnsi" w:hAnsiTheme="majorHAnsi"/>
          <w:bCs/>
        </w:rPr>
        <w:t>xxx</w:t>
      </w:r>
      <w:r w:rsidRPr="00A947CB">
        <w:rPr>
          <w:rFonts w:asciiTheme="majorHAnsi" w:hAnsiTheme="majorHAnsi"/>
          <w:bCs/>
        </w:rPr>
        <w:t xml:space="preserve"> for lunch and $</w:t>
      </w:r>
      <w:r w:rsidR="006E4100">
        <w:rPr>
          <w:rFonts w:asciiTheme="majorHAnsi" w:hAnsiTheme="majorHAnsi"/>
          <w:bCs/>
        </w:rPr>
        <w:t>xxx</w:t>
      </w:r>
      <w:r w:rsidRPr="00A947CB">
        <w:rPr>
          <w:rFonts w:asciiTheme="majorHAnsi" w:hAnsiTheme="majorHAnsi"/>
          <w:bCs/>
        </w:rPr>
        <w:t xml:space="preserve"> for dinner as provided by Chartwells, </w:t>
      </w:r>
      <w:r w:rsidR="00C847C6">
        <w:rPr>
          <w:rFonts w:asciiTheme="majorHAnsi" w:hAnsiTheme="majorHAnsi"/>
          <w:bCs/>
        </w:rPr>
        <w:t>Tennessee Tech</w:t>
      </w:r>
      <w:r w:rsidRPr="00A947CB">
        <w:rPr>
          <w:rFonts w:asciiTheme="majorHAnsi" w:hAnsiTheme="majorHAnsi"/>
          <w:bCs/>
        </w:rPr>
        <w:t>’s dining services. The students may purchase their own meal plan if they choose. Half of this will be paid at the beginning of the program and half will be paid at the beginning of the second 4-weeks.</w:t>
      </w:r>
    </w:p>
    <w:p w14:paraId="5A03206D" w14:textId="6CC1E13A" w:rsidR="009A6821" w:rsidRPr="00A947CB" w:rsidRDefault="00A947CB" w:rsidP="00A947CB">
      <w:pPr>
        <w:ind w:firstLine="720"/>
        <w:jc w:val="both"/>
        <w:rPr>
          <w:rFonts w:asciiTheme="majorHAnsi" w:hAnsiTheme="majorHAnsi"/>
          <w:bCs/>
        </w:rPr>
      </w:pPr>
      <w:r w:rsidRPr="00564D87">
        <w:rPr>
          <w:rFonts w:asciiTheme="majorHAnsi" w:hAnsiTheme="majorHAnsi"/>
          <w:b/>
          <w:bCs/>
        </w:rPr>
        <w:t>Travel – $</w:t>
      </w:r>
      <w:r w:rsidR="006E4100">
        <w:rPr>
          <w:rFonts w:asciiTheme="majorHAnsi" w:hAnsiTheme="majorHAnsi"/>
          <w:b/>
          <w:bCs/>
        </w:rPr>
        <w:t>xxx</w:t>
      </w:r>
      <w:r w:rsidRPr="00A947CB">
        <w:rPr>
          <w:rFonts w:asciiTheme="majorHAnsi" w:hAnsiTheme="majorHAnsi"/>
          <w:bCs/>
        </w:rPr>
        <w:t>: Each student will be reimbursed up to $</w:t>
      </w:r>
      <w:r w:rsidR="006E4100">
        <w:rPr>
          <w:rFonts w:asciiTheme="majorHAnsi" w:hAnsiTheme="majorHAnsi"/>
          <w:bCs/>
        </w:rPr>
        <w:t>xxx</w:t>
      </w:r>
      <w:r w:rsidRPr="00A947CB">
        <w:rPr>
          <w:rFonts w:asciiTheme="majorHAnsi" w:hAnsiTheme="majorHAnsi"/>
          <w:bCs/>
        </w:rPr>
        <w:t xml:space="preserve"> to cover the cost of 1 round trip to/from </w:t>
      </w:r>
      <w:r w:rsidR="00C847C6">
        <w:rPr>
          <w:rFonts w:asciiTheme="majorHAnsi" w:hAnsiTheme="majorHAnsi"/>
          <w:bCs/>
        </w:rPr>
        <w:t>Tennessee Tech</w:t>
      </w:r>
      <w:r w:rsidRPr="00A947CB">
        <w:rPr>
          <w:rFonts w:asciiTheme="majorHAnsi" w:hAnsiTheme="majorHAnsi"/>
          <w:bCs/>
        </w:rPr>
        <w:t xml:space="preserve"> at the most economical means for a total of $</w:t>
      </w:r>
      <w:r w:rsidR="006E4100">
        <w:rPr>
          <w:rFonts w:asciiTheme="majorHAnsi" w:hAnsiTheme="majorHAnsi"/>
          <w:bCs/>
        </w:rPr>
        <w:t>xxx</w:t>
      </w:r>
      <w:r w:rsidRPr="00A947CB">
        <w:rPr>
          <w:rFonts w:asciiTheme="majorHAnsi" w:hAnsiTheme="majorHAnsi"/>
          <w:bCs/>
        </w:rPr>
        <w:t>/year. Travel to conferences to present the students work after the 8 weeks has been budgeted at $</w:t>
      </w:r>
      <w:r w:rsidR="006E4100">
        <w:rPr>
          <w:rFonts w:asciiTheme="majorHAnsi" w:hAnsiTheme="majorHAnsi"/>
          <w:bCs/>
        </w:rPr>
        <w:t>xxx</w:t>
      </w:r>
      <w:r w:rsidRPr="00A947CB">
        <w:rPr>
          <w:rFonts w:asciiTheme="majorHAnsi" w:hAnsiTheme="majorHAnsi"/>
          <w:bCs/>
        </w:rPr>
        <w:t xml:space="preserve"> over 36 months.</w:t>
      </w:r>
    </w:p>
    <w:p w14:paraId="2342B1C6" w14:textId="404CFA15" w:rsidR="001247CF" w:rsidRPr="00C94352" w:rsidRDefault="00C3258D" w:rsidP="003E7370">
      <w:pPr>
        <w:pStyle w:val="Heading2"/>
        <w:numPr>
          <w:ilvl w:val="0"/>
          <w:numId w:val="2"/>
        </w:numPr>
        <w:spacing w:after="120"/>
        <w:ind w:left="270" w:right="90" w:hanging="270"/>
      </w:pPr>
      <w:r>
        <w:t>Supplies and Other Direct Costs</w:t>
      </w:r>
      <w:r w:rsidR="009A6821">
        <w:t xml:space="preserve"> | $</w:t>
      </w:r>
      <w:r w:rsidR="006E4100">
        <w:t>xxx</w:t>
      </w:r>
    </w:p>
    <w:p w14:paraId="6FBF5C68" w14:textId="780087F8" w:rsidR="00532AEF" w:rsidRPr="00532AEF" w:rsidRDefault="00532AEF" w:rsidP="00532AEF">
      <w:pPr>
        <w:pStyle w:val="ListParagraph"/>
        <w:numPr>
          <w:ilvl w:val="0"/>
          <w:numId w:val="3"/>
        </w:numPr>
        <w:spacing w:before="0" w:after="60" w:line="240" w:lineRule="auto"/>
        <w:jc w:val="both"/>
        <w:rPr>
          <w:rFonts w:asciiTheme="majorHAnsi" w:hAnsiTheme="majorHAnsi" w:cstheme="majorHAnsi"/>
          <w:b/>
          <w:bCs/>
        </w:rPr>
      </w:pPr>
      <w:r w:rsidRPr="00532AEF">
        <w:rPr>
          <w:rFonts w:asciiTheme="majorHAnsi" w:hAnsiTheme="majorHAnsi" w:cstheme="majorHAnsi"/>
          <w:b/>
          <w:bCs/>
        </w:rPr>
        <w:t>Materials and Supplies | $</w:t>
      </w:r>
      <w:r w:rsidR="006E4100">
        <w:rPr>
          <w:rFonts w:asciiTheme="majorHAnsi" w:hAnsiTheme="majorHAnsi" w:cstheme="majorHAnsi"/>
          <w:b/>
          <w:bCs/>
        </w:rPr>
        <w:t>xxx</w:t>
      </w:r>
    </w:p>
    <w:p w14:paraId="1B48F8EB" w14:textId="6B01123B" w:rsidR="00532AEF" w:rsidRPr="00532AEF" w:rsidRDefault="00532AEF" w:rsidP="006E4100">
      <w:pPr>
        <w:spacing w:after="60"/>
        <w:ind w:left="720"/>
        <w:jc w:val="both"/>
        <w:rPr>
          <w:rFonts w:asciiTheme="majorHAnsi" w:hAnsiTheme="majorHAnsi" w:cstheme="majorHAnsi"/>
          <w:bCs/>
        </w:rPr>
      </w:pPr>
      <w:r w:rsidRPr="00532AEF">
        <w:rPr>
          <w:rFonts w:asciiTheme="majorHAnsi" w:hAnsiTheme="majorHAnsi" w:cstheme="majorHAnsi"/>
          <w:bCs/>
        </w:rPr>
        <w:lastRenderedPageBreak/>
        <w:t>A total of $</w:t>
      </w:r>
      <w:r w:rsidR="006E4100">
        <w:rPr>
          <w:rFonts w:asciiTheme="majorHAnsi" w:hAnsiTheme="majorHAnsi" w:cstheme="majorHAnsi"/>
          <w:bCs/>
        </w:rPr>
        <w:t>xxx</w:t>
      </w:r>
      <w:r w:rsidRPr="00532AEF">
        <w:rPr>
          <w:rFonts w:asciiTheme="majorHAnsi" w:hAnsiTheme="majorHAnsi" w:cstheme="majorHAnsi"/>
          <w:bCs/>
        </w:rPr>
        <w:t xml:space="preserve"> is being budgeted for materials and supplies to be broken down as $</w:t>
      </w:r>
      <w:r w:rsidR="006E4100">
        <w:rPr>
          <w:rFonts w:asciiTheme="majorHAnsi" w:hAnsiTheme="majorHAnsi" w:cstheme="majorHAnsi"/>
          <w:bCs/>
        </w:rPr>
        <w:t>xxx</w:t>
      </w:r>
      <w:r w:rsidRPr="00532AEF">
        <w:rPr>
          <w:rFonts w:asciiTheme="majorHAnsi" w:hAnsiTheme="majorHAnsi" w:cstheme="majorHAnsi"/>
          <w:bCs/>
        </w:rPr>
        <w:t xml:space="preserve"> in year 1 to develop and reproduce recruiting materials and $</w:t>
      </w:r>
      <w:r w:rsidR="006E4100">
        <w:rPr>
          <w:rFonts w:asciiTheme="majorHAnsi" w:hAnsiTheme="majorHAnsi" w:cstheme="majorHAnsi"/>
          <w:bCs/>
        </w:rPr>
        <w:t>xxx</w:t>
      </w:r>
      <w:r w:rsidRPr="00532AEF">
        <w:rPr>
          <w:rFonts w:asciiTheme="majorHAnsi" w:hAnsiTheme="majorHAnsi" w:cstheme="majorHAnsi"/>
          <w:bCs/>
        </w:rPr>
        <w:t xml:space="preserve"> in years 2 and 3 to reproduce recruiting materials as needed.</w:t>
      </w:r>
    </w:p>
    <w:p w14:paraId="705FDAB4" w14:textId="2CB7D7AE" w:rsidR="00532AEF" w:rsidRPr="00532AEF" w:rsidRDefault="00532AEF" w:rsidP="00532AEF">
      <w:pPr>
        <w:pStyle w:val="ListParagraph"/>
        <w:numPr>
          <w:ilvl w:val="0"/>
          <w:numId w:val="3"/>
        </w:numPr>
        <w:spacing w:before="0" w:after="60" w:line="240" w:lineRule="auto"/>
        <w:jc w:val="both"/>
        <w:rPr>
          <w:rFonts w:asciiTheme="majorHAnsi" w:hAnsiTheme="majorHAnsi" w:cstheme="majorHAnsi"/>
          <w:b/>
          <w:bCs/>
        </w:rPr>
      </w:pPr>
      <w:r w:rsidRPr="00532AEF">
        <w:rPr>
          <w:rFonts w:asciiTheme="majorHAnsi" w:hAnsiTheme="majorHAnsi" w:cstheme="majorHAnsi"/>
          <w:b/>
          <w:bCs/>
        </w:rPr>
        <w:t>Consultant Services | $</w:t>
      </w:r>
      <w:r w:rsidR="006E4100">
        <w:rPr>
          <w:rFonts w:asciiTheme="majorHAnsi" w:hAnsiTheme="majorHAnsi" w:cstheme="majorHAnsi"/>
          <w:b/>
          <w:bCs/>
        </w:rPr>
        <w:t>xxx</w:t>
      </w:r>
    </w:p>
    <w:p w14:paraId="285610C5" w14:textId="77777777" w:rsidR="00532AEF" w:rsidRPr="00532AEF" w:rsidRDefault="00532AEF" w:rsidP="00532AEF">
      <w:pPr>
        <w:spacing w:after="60"/>
        <w:ind w:firstLine="720"/>
        <w:jc w:val="both"/>
        <w:rPr>
          <w:rFonts w:asciiTheme="majorHAnsi" w:hAnsiTheme="majorHAnsi" w:cstheme="majorHAnsi"/>
          <w:bCs/>
        </w:rPr>
      </w:pPr>
      <w:r w:rsidRPr="00532AEF">
        <w:rPr>
          <w:rFonts w:asciiTheme="majorHAnsi" w:hAnsiTheme="majorHAnsi" w:cstheme="majorHAnsi"/>
          <w:bCs/>
        </w:rPr>
        <w:t>Stipends are included for those mentoring the scholarship students as shown below:</w:t>
      </w:r>
    </w:p>
    <w:p w14:paraId="08CE2645" w14:textId="77777777" w:rsidR="00532AEF" w:rsidRPr="00532AEF" w:rsidRDefault="00532AEF" w:rsidP="00532AEF">
      <w:pPr>
        <w:spacing w:after="60"/>
        <w:jc w:val="center"/>
        <w:rPr>
          <w:rFonts w:asciiTheme="majorHAnsi" w:hAnsiTheme="majorHAnsi" w:cstheme="majorHAnsi"/>
          <w:bCs/>
        </w:rPr>
      </w:pPr>
      <w:r w:rsidRPr="00532AEF">
        <w:rPr>
          <w:rFonts w:asciiTheme="majorHAnsi" w:hAnsiTheme="majorHAnsi" w:cstheme="majorHAnsi"/>
          <w:noProof/>
        </w:rPr>
        <w:drawing>
          <wp:inline distT="0" distB="0" distL="0" distR="0" wp14:anchorId="384C0A15" wp14:editId="582B8B96">
            <wp:extent cx="4996689" cy="41332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1187" cy="421146"/>
                    </a:xfrm>
                    <a:prstGeom prst="rect">
                      <a:avLst/>
                    </a:prstGeom>
                    <a:noFill/>
                    <a:ln>
                      <a:noFill/>
                    </a:ln>
                  </pic:spPr>
                </pic:pic>
              </a:graphicData>
            </a:graphic>
          </wp:inline>
        </w:drawing>
      </w:r>
    </w:p>
    <w:p w14:paraId="679ECA3B" w14:textId="77777777" w:rsidR="00532AEF" w:rsidRPr="00532AEF" w:rsidRDefault="00532AEF" w:rsidP="00532AEF">
      <w:pPr>
        <w:pStyle w:val="ListParagraph"/>
        <w:spacing w:after="60"/>
        <w:jc w:val="both"/>
        <w:rPr>
          <w:rFonts w:asciiTheme="majorHAnsi" w:hAnsiTheme="majorHAnsi" w:cstheme="majorHAnsi"/>
          <w:b/>
          <w:bCs/>
        </w:rPr>
      </w:pPr>
    </w:p>
    <w:p w14:paraId="51C116DE" w14:textId="39DC347D" w:rsidR="00532AEF" w:rsidRPr="00532AEF" w:rsidRDefault="00532AEF" w:rsidP="00532AEF">
      <w:pPr>
        <w:pStyle w:val="ListParagraph"/>
        <w:numPr>
          <w:ilvl w:val="0"/>
          <w:numId w:val="3"/>
        </w:numPr>
        <w:spacing w:before="0" w:after="60" w:line="240" w:lineRule="auto"/>
        <w:jc w:val="both"/>
        <w:rPr>
          <w:rFonts w:asciiTheme="majorHAnsi" w:hAnsiTheme="majorHAnsi" w:cstheme="majorHAnsi"/>
          <w:b/>
          <w:bCs/>
        </w:rPr>
      </w:pPr>
      <w:r w:rsidRPr="00532AEF">
        <w:rPr>
          <w:rFonts w:asciiTheme="majorHAnsi" w:hAnsiTheme="majorHAnsi" w:cstheme="majorHAnsi"/>
          <w:b/>
          <w:bCs/>
        </w:rPr>
        <w:t>Subawards | $</w:t>
      </w:r>
      <w:r w:rsidR="006E4100">
        <w:rPr>
          <w:rFonts w:asciiTheme="majorHAnsi" w:hAnsiTheme="majorHAnsi" w:cstheme="majorHAnsi"/>
          <w:b/>
          <w:bCs/>
        </w:rPr>
        <w:t>xxx</w:t>
      </w:r>
    </w:p>
    <w:p w14:paraId="77972FE4" w14:textId="0D1AD2ED" w:rsidR="00532AEF" w:rsidRPr="00532AEF" w:rsidRDefault="00532AEF" w:rsidP="006E4100">
      <w:pPr>
        <w:spacing w:after="60"/>
        <w:ind w:left="720"/>
        <w:rPr>
          <w:rFonts w:asciiTheme="majorHAnsi" w:hAnsiTheme="majorHAnsi" w:cstheme="majorHAnsi"/>
          <w:bCs/>
        </w:rPr>
      </w:pPr>
      <w:r w:rsidRPr="00532AEF">
        <w:rPr>
          <w:rFonts w:asciiTheme="majorHAnsi" w:hAnsiTheme="majorHAnsi" w:cstheme="majorHAnsi"/>
          <w:bCs/>
        </w:rPr>
        <w:t>A total of $</w:t>
      </w:r>
      <w:r w:rsidR="006E4100">
        <w:rPr>
          <w:rFonts w:asciiTheme="majorHAnsi" w:hAnsiTheme="majorHAnsi" w:cstheme="majorHAnsi"/>
          <w:bCs/>
        </w:rPr>
        <w:t>xxx</w:t>
      </w:r>
      <w:r w:rsidRPr="00532AEF">
        <w:rPr>
          <w:rFonts w:asciiTheme="majorHAnsi" w:hAnsiTheme="majorHAnsi" w:cstheme="majorHAnsi"/>
          <w:bCs/>
        </w:rPr>
        <w:t xml:space="preserve"> is being requested for the subaward, </w:t>
      </w:r>
      <w:r w:rsidR="006E4100">
        <w:rPr>
          <w:rFonts w:asciiTheme="majorHAnsi" w:hAnsiTheme="majorHAnsi" w:cstheme="majorHAnsi"/>
          <w:bCs/>
        </w:rPr>
        <w:t>Subaward University</w:t>
      </w:r>
      <w:r w:rsidRPr="00532AEF">
        <w:rPr>
          <w:rFonts w:asciiTheme="majorHAnsi" w:hAnsiTheme="majorHAnsi" w:cstheme="majorHAnsi"/>
          <w:bCs/>
        </w:rPr>
        <w:t>, over the project period. Year 1 is budgeted at $</w:t>
      </w:r>
      <w:r w:rsidR="006E4100">
        <w:rPr>
          <w:rFonts w:asciiTheme="majorHAnsi" w:hAnsiTheme="majorHAnsi" w:cstheme="majorHAnsi"/>
          <w:bCs/>
        </w:rPr>
        <w:t>xxx</w:t>
      </w:r>
      <w:r w:rsidRPr="00532AEF">
        <w:rPr>
          <w:rFonts w:asciiTheme="majorHAnsi" w:hAnsiTheme="majorHAnsi" w:cstheme="majorHAnsi"/>
          <w:bCs/>
        </w:rPr>
        <w:t>, year 2 at $</w:t>
      </w:r>
      <w:r w:rsidR="006E4100">
        <w:rPr>
          <w:rFonts w:asciiTheme="majorHAnsi" w:hAnsiTheme="majorHAnsi" w:cstheme="majorHAnsi"/>
          <w:bCs/>
        </w:rPr>
        <w:t>xxx</w:t>
      </w:r>
      <w:r w:rsidRPr="00532AEF">
        <w:rPr>
          <w:rFonts w:asciiTheme="majorHAnsi" w:hAnsiTheme="majorHAnsi" w:cstheme="majorHAnsi"/>
          <w:bCs/>
        </w:rPr>
        <w:t>, year 3 $</w:t>
      </w:r>
      <w:r w:rsidR="006E4100">
        <w:rPr>
          <w:rFonts w:asciiTheme="majorHAnsi" w:hAnsiTheme="majorHAnsi" w:cstheme="majorHAnsi"/>
          <w:bCs/>
        </w:rPr>
        <w:t>xxx</w:t>
      </w:r>
      <w:r w:rsidRPr="00532AEF">
        <w:rPr>
          <w:rFonts w:asciiTheme="majorHAnsi" w:hAnsiTheme="majorHAnsi" w:cstheme="majorHAnsi"/>
          <w:bCs/>
        </w:rPr>
        <w:t>, year 4 $</w:t>
      </w:r>
      <w:r w:rsidR="006E4100">
        <w:rPr>
          <w:rFonts w:asciiTheme="majorHAnsi" w:hAnsiTheme="majorHAnsi" w:cstheme="majorHAnsi"/>
          <w:bCs/>
        </w:rPr>
        <w:t>xxx</w:t>
      </w:r>
      <w:r w:rsidRPr="00532AEF">
        <w:rPr>
          <w:rFonts w:asciiTheme="majorHAnsi" w:hAnsiTheme="majorHAnsi" w:cstheme="majorHAnsi"/>
          <w:bCs/>
        </w:rPr>
        <w:t xml:space="preserve"> and $</w:t>
      </w:r>
      <w:r w:rsidR="006E4100">
        <w:rPr>
          <w:rFonts w:asciiTheme="majorHAnsi" w:hAnsiTheme="majorHAnsi" w:cstheme="majorHAnsi"/>
          <w:bCs/>
        </w:rPr>
        <w:t>xxx</w:t>
      </w:r>
      <w:r w:rsidRPr="00532AEF">
        <w:rPr>
          <w:rFonts w:asciiTheme="majorHAnsi" w:hAnsiTheme="majorHAnsi" w:cstheme="majorHAnsi"/>
          <w:bCs/>
        </w:rPr>
        <w:t xml:space="preserve"> in year 5. Years 1-</w:t>
      </w:r>
      <w:r w:rsidR="006E4100">
        <w:rPr>
          <w:rFonts w:asciiTheme="majorHAnsi" w:hAnsiTheme="majorHAnsi" w:cstheme="majorHAnsi"/>
          <w:bCs/>
        </w:rPr>
        <w:t xml:space="preserve">3 will support </w:t>
      </w:r>
      <w:proofErr w:type="spellStart"/>
      <w:r w:rsidR="006E4100">
        <w:rPr>
          <w:rFonts w:asciiTheme="majorHAnsi" w:hAnsiTheme="majorHAnsi" w:cstheme="majorHAnsi"/>
          <w:bCs/>
        </w:rPr>
        <w:t>coPI</w:t>
      </w:r>
      <w:proofErr w:type="spellEnd"/>
      <w:r w:rsidR="006E4100">
        <w:rPr>
          <w:rFonts w:asciiTheme="majorHAnsi" w:hAnsiTheme="majorHAnsi" w:cstheme="majorHAnsi"/>
          <w:bCs/>
        </w:rPr>
        <w:t xml:space="preserve"> Dr. Subaward</w:t>
      </w:r>
      <w:r w:rsidRPr="00532AEF">
        <w:rPr>
          <w:rFonts w:asciiTheme="majorHAnsi" w:hAnsiTheme="majorHAnsi" w:cstheme="majorHAnsi"/>
          <w:bCs/>
        </w:rPr>
        <w:t xml:space="preserve">, marketing, recruitment and 10 ETE interns at </w:t>
      </w:r>
      <w:r w:rsidR="006E4100">
        <w:rPr>
          <w:rFonts w:asciiTheme="majorHAnsi" w:hAnsiTheme="majorHAnsi" w:cstheme="majorHAnsi"/>
          <w:bCs/>
        </w:rPr>
        <w:t>Subaward University</w:t>
      </w:r>
      <w:r w:rsidRPr="00532AEF">
        <w:rPr>
          <w:rFonts w:asciiTheme="majorHAnsi" w:hAnsiTheme="majorHAnsi" w:cstheme="majorHAnsi"/>
          <w:bCs/>
        </w:rPr>
        <w:t>.</w:t>
      </w:r>
    </w:p>
    <w:p w14:paraId="0F0255C7" w14:textId="64DA4784" w:rsidR="00532AEF" w:rsidRPr="00532AEF" w:rsidRDefault="00532AEF" w:rsidP="00532AEF">
      <w:pPr>
        <w:pStyle w:val="ListParagraph"/>
        <w:numPr>
          <w:ilvl w:val="0"/>
          <w:numId w:val="3"/>
        </w:numPr>
        <w:spacing w:before="0" w:after="60" w:line="240" w:lineRule="auto"/>
        <w:jc w:val="both"/>
        <w:rPr>
          <w:rFonts w:asciiTheme="majorHAnsi" w:hAnsiTheme="majorHAnsi" w:cstheme="majorHAnsi"/>
          <w:b/>
          <w:bCs/>
        </w:rPr>
      </w:pPr>
      <w:r w:rsidRPr="00532AEF">
        <w:rPr>
          <w:rFonts w:asciiTheme="majorHAnsi" w:hAnsiTheme="majorHAnsi" w:cstheme="majorHAnsi"/>
          <w:b/>
          <w:bCs/>
        </w:rPr>
        <w:t>Other | $</w:t>
      </w:r>
      <w:r w:rsidR="006E4100">
        <w:rPr>
          <w:rFonts w:asciiTheme="majorHAnsi" w:hAnsiTheme="majorHAnsi" w:cstheme="majorHAnsi"/>
          <w:b/>
          <w:bCs/>
        </w:rPr>
        <w:t>xxx</w:t>
      </w:r>
    </w:p>
    <w:p w14:paraId="67A17680" w14:textId="7A4258D4" w:rsidR="00532AEF" w:rsidRPr="00532AEF" w:rsidRDefault="00532AEF" w:rsidP="00532AEF">
      <w:pPr>
        <w:pStyle w:val="ListParagraph"/>
        <w:spacing w:after="60"/>
        <w:jc w:val="both"/>
        <w:rPr>
          <w:rFonts w:asciiTheme="majorHAnsi" w:hAnsiTheme="majorHAnsi" w:cstheme="majorHAnsi"/>
          <w:bCs/>
        </w:rPr>
      </w:pPr>
      <w:r w:rsidRPr="00532AEF">
        <w:rPr>
          <w:rFonts w:asciiTheme="majorHAnsi" w:hAnsiTheme="majorHAnsi" w:cstheme="majorHAnsi"/>
          <w:bCs/>
        </w:rPr>
        <w:t>A total of $</w:t>
      </w:r>
      <w:r w:rsidR="006E4100">
        <w:rPr>
          <w:rFonts w:asciiTheme="majorHAnsi" w:hAnsiTheme="majorHAnsi" w:cstheme="majorHAnsi"/>
          <w:bCs/>
        </w:rPr>
        <w:t>xxx</w:t>
      </w:r>
      <w:r w:rsidRPr="00532AEF">
        <w:rPr>
          <w:rFonts w:asciiTheme="majorHAnsi" w:hAnsiTheme="majorHAnsi" w:cstheme="majorHAnsi"/>
          <w:bCs/>
        </w:rPr>
        <w:t xml:space="preserve"> each year is being requested for software license to set up a collaboration site on Slack for the project.</w:t>
      </w:r>
    </w:p>
    <w:p w14:paraId="4C4A125E" w14:textId="714B50B7" w:rsidR="00364361" w:rsidRPr="00C94352" w:rsidRDefault="00532AEF" w:rsidP="003E7370">
      <w:pPr>
        <w:pStyle w:val="Heading2"/>
        <w:ind w:right="90"/>
      </w:pPr>
      <w:r w:rsidRPr="00532AEF">
        <w:rPr>
          <w:caps w:val="0"/>
        </w:rPr>
        <w:t>I.</w:t>
      </w:r>
      <w:r>
        <w:t xml:space="preserve"> </w:t>
      </w:r>
      <w:r w:rsidR="000078C7">
        <w:t>Indirect (</w:t>
      </w:r>
      <w:r w:rsidR="00364361" w:rsidRPr="00C94352">
        <w:t xml:space="preserve">Facilities </w:t>
      </w:r>
      <w:r w:rsidR="000078C7">
        <w:t>&amp;</w:t>
      </w:r>
      <w:r w:rsidR="00364361" w:rsidRPr="00C94352">
        <w:t xml:space="preserve"> Administrative</w:t>
      </w:r>
      <w:r w:rsidR="000078C7">
        <w:t>)</w:t>
      </w:r>
      <w:r w:rsidR="00364361" w:rsidRPr="00C94352">
        <w:t xml:space="preserve"> Costs</w:t>
      </w:r>
      <w:r w:rsidR="00D415E8" w:rsidRPr="00C94352">
        <w:t xml:space="preserve"> </w:t>
      </w:r>
      <w:r>
        <w:t>|</w:t>
      </w:r>
      <w:r w:rsidR="00EF4A6E">
        <w:t xml:space="preserve"> </w:t>
      </w:r>
      <w:r w:rsidR="00C3258D">
        <w:t>$</w:t>
      </w:r>
      <w:r w:rsidR="006E4100">
        <w:t>xxx</w:t>
      </w:r>
    </w:p>
    <w:p w14:paraId="4F495509" w14:textId="5D3F352F" w:rsidR="00A17D08" w:rsidRDefault="00364361" w:rsidP="00C94352">
      <w:pPr>
        <w:jc w:val="both"/>
        <w:rPr>
          <w:rFonts w:asciiTheme="majorHAnsi" w:hAnsiTheme="majorHAnsi"/>
        </w:rPr>
      </w:pPr>
      <w:r w:rsidRPr="00C94352">
        <w:rPr>
          <w:rFonts w:asciiTheme="majorHAnsi" w:hAnsiTheme="majorHAnsi"/>
          <w:b/>
          <w:bCs/>
        </w:rPr>
        <w:tab/>
      </w:r>
      <w:r w:rsidR="00305139">
        <w:rPr>
          <w:rFonts w:asciiTheme="majorHAnsi" w:hAnsiTheme="majorHAnsi"/>
        </w:rPr>
        <w:t>Tennessee Tech’s</w:t>
      </w:r>
      <w:r w:rsidR="00764968" w:rsidRPr="00C94352">
        <w:rPr>
          <w:rFonts w:asciiTheme="majorHAnsi" w:hAnsiTheme="majorHAnsi"/>
        </w:rPr>
        <w:t xml:space="preserve"> current predetermined federally approved</w:t>
      </w:r>
      <w:r w:rsidRPr="00C94352">
        <w:rPr>
          <w:rFonts w:asciiTheme="majorHAnsi" w:hAnsiTheme="majorHAnsi"/>
        </w:rPr>
        <w:t xml:space="preserve"> </w:t>
      </w:r>
      <w:r w:rsidR="00532AEF">
        <w:rPr>
          <w:rFonts w:asciiTheme="majorHAnsi" w:hAnsiTheme="majorHAnsi"/>
        </w:rPr>
        <w:t xml:space="preserve">on-campus </w:t>
      </w:r>
      <w:r w:rsidRPr="00C94352">
        <w:rPr>
          <w:rFonts w:asciiTheme="majorHAnsi" w:hAnsiTheme="majorHAnsi"/>
        </w:rPr>
        <w:t>Facilities and Administrative Cost rate as approved by the Department of Health and Human S</w:t>
      </w:r>
      <w:r w:rsidR="00764968" w:rsidRPr="00C94352">
        <w:rPr>
          <w:rFonts w:asciiTheme="majorHAnsi" w:hAnsiTheme="majorHAnsi"/>
        </w:rPr>
        <w:t xml:space="preserve">ervices </w:t>
      </w:r>
      <w:r w:rsidR="002D727B">
        <w:rPr>
          <w:rFonts w:asciiTheme="majorHAnsi" w:hAnsiTheme="majorHAnsi"/>
        </w:rPr>
        <w:t>effective July 1, 20</w:t>
      </w:r>
      <w:r w:rsidR="00664129">
        <w:rPr>
          <w:rFonts w:asciiTheme="majorHAnsi" w:hAnsiTheme="majorHAnsi"/>
        </w:rPr>
        <w:t>21</w:t>
      </w:r>
      <w:r w:rsidR="00E147D0">
        <w:rPr>
          <w:rFonts w:asciiTheme="majorHAnsi" w:hAnsiTheme="majorHAnsi"/>
        </w:rPr>
        <w:t>,</w:t>
      </w:r>
      <w:r w:rsidR="002D727B">
        <w:rPr>
          <w:rFonts w:asciiTheme="majorHAnsi" w:hAnsiTheme="majorHAnsi"/>
        </w:rPr>
        <w:t xml:space="preserve"> through June 30, 202</w:t>
      </w:r>
      <w:r w:rsidR="00664129">
        <w:rPr>
          <w:rFonts w:asciiTheme="majorHAnsi" w:hAnsiTheme="majorHAnsi"/>
        </w:rPr>
        <w:t>3</w:t>
      </w:r>
      <w:r w:rsidR="00E147D0">
        <w:rPr>
          <w:rFonts w:asciiTheme="majorHAnsi" w:hAnsiTheme="majorHAnsi"/>
        </w:rPr>
        <w:t>,</w:t>
      </w:r>
      <w:r w:rsidR="002D727B">
        <w:rPr>
          <w:rFonts w:asciiTheme="majorHAnsi" w:hAnsiTheme="majorHAnsi"/>
        </w:rPr>
        <w:t xml:space="preserve"> </w:t>
      </w:r>
      <w:r w:rsidR="00764968" w:rsidRPr="00C94352">
        <w:rPr>
          <w:rFonts w:asciiTheme="majorHAnsi" w:hAnsiTheme="majorHAnsi"/>
        </w:rPr>
        <w:t>is 42.0</w:t>
      </w:r>
      <w:r w:rsidR="007C07C7" w:rsidRPr="00C94352">
        <w:rPr>
          <w:rFonts w:asciiTheme="majorHAnsi" w:hAnsiTheme="majorHAnsi"/>
        </w:rPr>
        <w:t>% of Modified Total Direct Costs</w:t>
      </w:r>
      <w:r w:rsidRPr="00C94352">
        <w:rPr>
          <w:rFonts w:asciiTheme="majorHAnsi" w:hAnsiTheme="majorHAnsi"/>
        </w:rPr>
        <w:t>.</w:t>
      </w:r>
      <w:r w:rsidR="00A17D08" w:rsidRPr="00C94352">
        <w:rPr>
          <w:rFonts w:asciiTheme="majorHAnsi" w:hAnsiTheme="majorHAnsi"/>
        </w:rPr>
        <w:t xml:space="preserve">  The Modified Total Direct Costs are the Total Direct Costs </w:t>
      </w:r>
      <w:proofErr w:type="gramStart"/>
      <w:r w:rsidR="00A17D08" w:rsidRPr="00C94352">
        <w:rPr>
          <w:rFonts w:asciiTheme="majorHAnsi" w:hAnsiTheme="majorHAnsi"/>
        </w:rPr>
        <w:t>less</w:t>
      </w:r>
      <w:proofErr w:type="gramEnd"/>
      <w:r w:rsidR="00A17D08" w:rsidRPr="00C94352">
        <w:rPr>
          <w:rFonts w:asciiTheme="majorHAnsi" w:hAnsiTheme="majorHAnsi"/>
        </w:rPr>
        <w:t xml:space="preserve"> capital expenditures (buildings</w:t>
      </w:r>
      <w:r w:rsidR="00473962" w:rsidRPr="00C94352">
        <w:rPr>
          <w:rFonts w:asciiTheme="majorHAnsi" w:hAnsiTheme="majorHAnsi"/>
        </w:rPr>
        <w:t>, individual items of equipment,</w:t>
      </w:r>
      <w:r w:rsidR="00A17D08" w:rsidRPr="00C94352">
        <w:rPr>
          <w:rFonts w:asciiTheme="majorHAnsi" w:hAnsiTheme="majorHAnsi"/>
        </w:rPr>
        <w:t xml:space="preserve"> alterations and renovations), that portion of each subaward in excess of $25,000 and flow-through funds.</w:t>
      </w:r>
      <w:r w:rsidR="00D415E8" w:rsidRPr="00C94352">
        <w:rPr>
          <w:rFonts w:asciiTheme="majorHAnsi" w:hAnsiTheme="majorHAnsi"/>
        </w:rPr>
        <w:t xml:space="preserve">  </w:t>
      </w:r>
    </w:p>
    <w:p w14:paraId="61E0A181" w14:textId="551C847A" w:rsidR="002D727B" w:rsidRDefault="002D727B" w:rsidP="002D727B">
      <w:pPr>
        <w:ind w:firstLine="720"/>
        <w:jc w:val="both"/>
        <w:rPr>
          <w:rFonts w:asciiTheme="majorHAnsi" w:hAnsiTheme="majorHAnsi"/>
        </w:rPr>
      </w:pPr>
      <w:r>
        <w:rPr>
          <w:rFonts w:asciiTheme="majorHAnsi" w:hAnsiTheme="majorHAnsi"/>
        </w:rPr>
        <w:t>Tennessee Tech’s</w:t>
      </w:r>
      <w:r w:rsidRPr="00C94352">
        <w:rPr>
          <w:rFonts w:asciiTheme="majorHAnsi" w:hAnsiTheme="majorHAnsi"/>
        </w:rPr>
        <w:t xml:space="preserve"> current predetermined federally approved </w:t>
      </w:r>
      <w:r>
        <w:rPr>
          <w:rFonts w:asciiTheme="majorHAnsi" w:hAnsiTheme="majorHAnsi"/>
        </w:rPr>
        <w:t xml:space="preserve">off-campus </w:t>
      </w:r>
      <w:r w:rsidRPr="00C94352">
        <w:rPr>
          <w:rFonts w:asciiTheme="majorHAnsi" w:hAnsiTheme="majorHAnsi"/>
        </w:rPr>
        <w:t>Facilities and Administrative Cost rate as approved by the Department of Health and Human S</w:t>
      </w:r>
      <w:bookmarkStart w:id="0" w:name="_GoBack"/>
      <w:bookmarkEnd w:id="0"/>
      <w:r w:rsidRPr="00C94352">
        <w:rPr>
          <w:rFonts w:asciiTheme="majorHAnsi" w:hAnsiTheme="majorHAnsi"/>
        </w:rPr>
        <w:t xml:space="preserve">ervices </w:t>
      </w:r>
      <w:r>
        <w:rPr>
          <w:rFonts w:asciiTheme="majorHAnsi" w:hAnsiTheme="majorHAnsi"/>
        </w:rPr>
        <w:t>effective July 1, 20</w:t>
      </w:r>
      <w:r w:rsidR="00664129">
        <w:rPr>
          <w:rFonts w:asciiTheme="majorHAnsi" w:hAnsiTheme="majorHAnsi"/>
        </w:rPr>
        <w:t>21</w:t>
      </w:r>
      <w:r w:rsidR="00E147D0">
        <w:rPr>
          <w:rFonts w:asciiTheme="majorHAnsi" w:hAnsiTheme="majorHAnsi"/>
        </w:rPr>
        <w:t>,</w:t>
      </w:r>
      <w:r>
        <w:rPr>
          <w:rFonts w:asciiTheme="majorHAnsi" w:hAnsiTheme="majorHAnsi"/>
        </w:rPr>
        <w:t xml:space="preserve"> through June 30, 202</w:t>
      </w:r>
      <w:r w:rsidR="00664129">
        <w:rPr>
          <w:rFonts w:asciiTheme="majorHAnsi" w:hAnsiTheme="majorHAnsi"/>
        </w:rPr>
        <w:t>3</w:t>
      </w:r>
      <w:r w:rsidR="00E147D0">
        <w:rPr>
          <w:rFonts w:asciiTheme="majorHAnsi" w:hAnsiTheme="majorHAnsi"/>
        </w:rPr>
        <w:t>,</w:t>
      </w:r>
      <w:r>
        <w:rPr>
          <w:rFonts w:asciiTheme="majorHAnsi" w:hAnsiTheme="majorHAnsi"/>
        </w:rPr>
        <w:t xml:space="preserve"> is 11.5</w:t>
      </w:r>
      <w:r w:rsidRPr="00C94352">
        <w:rPr>
          <w:rFonts w:asciiTheme="majorHAnsi" w:hAnsiTheme="majorHAnsi"/>
        </w:rPr>
        <w:t xml:space="preserve">% of Modified Total Direct Costs.  The Modified Total Direct Costs are the Total Direct Costs </w:t>
      </w:r>
      <w:proofErr w:type="gramStart"/>
      <w:r w:rsidRPr="00C94352">
        <w:rPr>
          <w:rFonts w:asciiTheme="majorHAnsi" w:hAnsiTheme="majorHAnsi"/>
        </w:rPr>
        <w:t>less</w:t>
      </w:r>
      <w:proofErr w:type="gramEnd"/>
      <w:r w:rsidRPr="00C94352">
        <w:rPr>
          <w:rFonts w:asciiTheme="majorHAnsi" w:hAnsiTheme="majorHAnsi"/>
        </w:rPr>
        <w:t xml:space="preserve"> capital expenditures (buildings, individual items of equipment, alterations and renovations), that portion of each subaward in excess of $25,000 and flow-through funds.  </w:t>
      </w:r>
    </w:p>
    <w:p w14:paraId="30CCD32D" w14:textId="144C4B9C" w:rsidR="00C25A94" w:rsidRDefault="00C25A94" w:rsidP="002D727B">
      <w:pPr>
        <w:ind w:firstLine="720"/>
        <w:jc w:val="both"/>
        <w:rPr>
          <w:rFonts w:asciiTheme="majorHAnsi" w:hAnsiTheme="majorHAnsi"/>
        </w:rPr>
      </w:pPr>
      <w:r w:rsidRPr="00C25A94">
        <w:rPr>
          <w:rFonts w:asciiTheme="majorHAnsi" w:hAnsiTheme="majorHAnsi"/>
        </w:rPr>
        <w:t>The portion of indirect costs (F&amp;A) that were not allowed by the sponsor is being considered waived indirect costs or unrecovered facilities and administrative costs and is being counted as Grantee Participation.</w:t>
      </w:r>
    </w:p>
    <w:p w14:paraId="4DFD5AF1" w14:textId="64EA60A2" w:rsidR="00511910" w:rsidRDefault="00511910" w:rsidP="002D727B">
      <w:pPr>
        <w:ind w:firstLine="720"/>
        <w:jc w:val="both"/>
        <w:rPr>
          <w:rFonts w:asciiTheme="majorHAnsi" w:hAnsiTheme="majorHAnsi"/>
        </w:rPr>
      </w:pPr>
      <w:r w:rsidRPr="00511910">
        <w:rPr>
          <w:rFonts w:asciiTheme="majorHAnsi" w:hAnsiTheme="majorHAnsi"/>
        </w:rPr>
        <w:t>Tennessee Tech University is a State Controlled Institution of Higher Education that is submitting this proposal for consideration under the Cooperative Ecosystem Studies Unit Network”], which has a Department of the Interior-approved indirect cost rate cap of 17.5%.</w:t>
      </w:r>
    </w:p>
    <w:p w14:paraId="4B501F59" w14:textId="0075AE68" w:rsidR="00364361" w:rsidRPr="009C12BC" w:rsidRDefault="009C12BC" w:rsidP="00C94352">
      <w:pPr>
        <w:jc w:val="both"/>
        <w:rPr>
          <w:rFonts w:asciiTheme="majorHAnsi" w:hAnsiTheme="majorHAnsi"/>
        </w:rPr>
      </w:pPr>
      <w:r w:rsidRPr="009C12BC">
        <w:rPr>
          <w:rFonts w:asciiTheme="majorHAnsi" w:hAnsiTheme="majorHAnsi"/>
          <w:b/>
        </w:rPr>
        <w:t xml:space="preserve">Total Project: </w:t>
      </w:r>
      <w:r w:rsidR="00C44D3C">
        <w:rPr>
          <w:rFonts w:asciiTheme="majorHAnsi" w:hAnsiTheme="majorHAnsi"/>
          <w:b/>
        </w:rPr>
        <w:t>$</w:t>
      </w:r>
      <w:proofErr w:type="spellStart"/>
      <w:r w:rsidR="006E4100">
        <w:rPr>
          <w:rFonts w:asciiTheme="majorHAnsi" w:hAnsiTheme="majorHAnsi"/>
          <w:b/>
        </w:rPr>
        <w:t>xxxx</w:t>
      </w:r>
      <w:proofErr w:type="spellEnd"/>
    </w:p>
    <w:sectPr w:rsidR="00364361" w:rsidRPr="009C12BC" w:rsidSect="00C3258D">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2C31D" w14:textId="77777777" w:rsidR="0074110A" w:rsidRDefault="0074110A" w:rsidP="00EB064A">
      <w:r>
        <w:separator/>
      </w:r>
    </w:p>
  </w:endnote>
  <w:endnote w:type="continuationSeparator" w:id="0">
    <w:p w14:paraId="3A50B7BD" w14:textId="77777777" w:rsidR="0074110A" w:rsidRDefault="0074110A" w:rsidP="00EB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51907" w14:textId="1168FF92" w:rsidR="00EB064A" w:rsidRPr="00A70E4B" w:rsidRDefault="00EB064A">
    <w:pPr>
      <w:pStyle w:val="Footer"/>
      <w:jc w:val="center"/>
      <w:rPr>
        <w:rFonts w:asciiTheme="majorHAnsi" w:hAnsiTheme="majorHAnsi"/>
      </w:rPr>
    </w:pPr>
    <w:r w:rsidRPr="00A70E4B">
      <w:rPr>
        <w:rFonts w:asciiTheme="majorHAnsi" w:hAnsiTheme="majorHAnsi"/>
      </w:rPr>
      <w:fldChar w:fldCharType="begin"/>
    </w:r>
    <w:r w:rsidRPr="00A70E4B">
      <w:rPr>
        <w:rFonts w:asciiTheme="majorHAnsi" w:hAnsiTheme="majorHAnsi"/>
      </w:rPr>
      <w:instrText xml:space="preserve"> PAGE   \* MERGEFORMAT </w:instrText>
    </w:r>
    <w:r w:rsidRPr="00A70E4B">
      <w:rPr>
        <w:rFonts w:asciiTheme="majorHAnsi" w:hAnsiTheme="majorHAnsi"/>
      </w:rPr>
      <w:fldChar w:fldCharType="separate"/>
    </w:r>
    <w:r w:rsidR="00531505">
      <w:rPr>
        <w:rFonts w:asciiTheme="majorHAnsi" w:hAnsiTheme="majorHAnsi"/>
        <w:noProof/>
      </w:rPr>
      <w:t>1</w:t>
    </w:r>
    <w:r w:rsidRPr="00A70E4B">
      <w:rPr>
        <w:rFonts w:asciiTheme="majorHAnsi" w:hAnsiTheme="majorHAnsi"/>
        <w:noProof/>
      </w:rPr>
      <w:fldChar w:fldCharType="end"/>
    </w:r>
  </w:p>
  <w:p w14:paraId="662DD564" w14:textId="77777777" w:rsidR="00EB064A" w:rsidRDefault="00EB0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C1AAF" w14:textId="77777777" w:rsidR="0074110A" w:rsidRDefault="0074110A" w:rsidP="00EB064A">
      <w:r>
        <w:separator/>
      </w:r>
    </w:p>
  </w:footnote>
  <w:footnote w:type="continuationSeparator" w:id="0">
    <w:p w14:paraId="079EB46D" w14:textId="77777777" w:rsidR="0074110A" w:rsidRDefault="0074110A" w:rsidP="00EB0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1032"/>
    <w:multiLevelType w:val="hybridMultilevel"/>
    <w:tmpl w:val="2842CE0C"/>
    <w:lvl w:ilvl="0" w:tplc="40D0C7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95B1D"/>
    <w:multiLevelType w:val="hybridMultilevel"/>
    <w:tmpl w:val="71BA7884"/>
    <w:lvl w:ilvl="0" w:tplc="0A0E00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772FC"/>
    <w:multiLevelType w:val="hybridMultilevel"/>
    <w:tmpl w:val="03E4B7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5B231CFD"/>
    <w:multiLevelType w:val="hybridMultilevel"/>
    <w:tmpl w:val="A04AD172"/>
    <w:lvl w:ilvl="0" w:tplc="0A0E00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658D9"/>
    <w:multiLevelType w:val="hybridMultilevel"/>
    <w:tmpl w:val="98544406"/>
    <w:lvl w:ilvl="0" w:tplc="BCCA4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76"/>
    <w:rsid w:val="00003686"/>
    <w:rsid w:val="000078C7"/>
    <w:rsid w:val="00011CBB"/>
    <w:rsid w:val="000138AC"/>
    <w:rsid w:val="00014C40"/>
    <w:rsid w:val="00014EF6"/>
    <w:rsid w:val="000155DD"/>
    <w:rsid w:val="00022A9F"/>
    <w:rsid w:val="00033AD5"/>
    <w:rsid w:val="00043A2B"/>
    <w:rsid w:val="00055889"/>
    <w:rsid w:val="0005655E"/>
    <w:rsid w:val="00057532"/>
    <w:rsid w:val="00062F78"/>
    <w:rsid w:val="0006402D"/>
    <w:rsid w:val="0007165F"/>
    <w:rsid w:val="00080067"/>
    <w:rsid w:val="0008627A"/>
    <w:rsid w:val="00095501"/>
    <w:rsid w:val="000A6E92"/>
    <w:rsid w:val="000C1461"/>
    <w:rsid w:val="000D166B"/>
    <w:rsid w:val="000E6C2E"/>
    <w:rsid w:val="000F47CA"/>
    <w:rsid w:val="000F793F"/>
    <w:rsid w:val="001018C9"/>
    <w:rsid w:val="001020C5"/>
    <w:rsid w:val="0011696E"/>
    <w:rsid w:val="001247CF"/>
    <w:rsid w:val="001260CB"/>
    <w:rsid w:val="0013104B"/>
    <w:rsid w:val="00154805"/>
    <w:rsid w:val="0016393D"/>
    <w:rsid w:val="001740D9"/>
    <w:rsid w:val="00181C60"/>
    <w:rsid w:val="001824F7"/>
    <w:rsid w:val="001861A0"/>
    <w:rsid w:val="00190953"/>
    <w:rsid w:val="00190ACB"/>
    <w:rsid w:val="001A0450"/>
    <w:rsid w:val="001C062C"/>
    <w:rsid w:val="001C239C"/>
    <w:rsid w:val="001C24BC"/>
    <w:rsid w:val="001D6B8C"/>
    <w:rsid w:val="001E1193"/>
    <w:rsid w:val="001E4E63"/>
    <w:rsid w:val="001F2EA2"/>
    <w:rsid w:val="00213572"/>
    <w:rsid w:val="002508C1"/>
    <w:rsid w:val="002523B7"/>
    <w:rsid w:val="00262310"/>
    <w:rsid w:val="00263BE6"/>
    <w:rsid w:val="0027552F"/>
    <w:rsid w:val="002C2AEF"/>
    <w:rsid w:val="002C53E0"/>
    <w:rsid w:val="002D55D9"/>
    <w:rsid w:val="002D727B"/>
    <w:rsid w:val="002E490F"/>
    <w:rsid w:val="002F2759"/>
    <w:rsid w:val="002F2B3F"/>
    <w:rsid w:val="002F5EF6"/>
    <w:rsid w:val="00303763"/>
    <w:rsid w:val="00305139"/>
    <w:rsid w:val="00320480"/>
    <w:rsid w:val="00333117"/>
    <w:rsid w:val="003356F7"/>
    <w:rsid w:val="00337FD8"/>
    <w:rsid w:val="0034355E"/>
    <w:rsid w:val="003451CE"/>
    <w:rsid w:val="00364361"/>
    <w:rsid w:val="00374EA8"/>
    <w:rsid w:val="0037518B"/>
    <w:rsid w:val="00381794"/>
    <w:rsid w:val="003B04D4"/>
    <w:rsid w:val="003B30F5"/>
    <w:rsid w:val="003B6452"/>
    <w:rsid w:val="003E4E25"/>
    <w:rsid w:val="003E7370"/>
    <w:rsid w:val="003F3C5D"/>
    <w:rsid w:val="00413F53"/>
    <w:rsid w:val="00434910"/>
    <w:rsid w:val="00436804"/>
    <w:rsid w:val="00440B3D"/>
    <w:rsid w:val="0045666E"/>
    <w:rsid w:val="0046044D"/>
    <w:rsid w:val="00473962"/>
    <w:rsid w:val="004773B8"/>
    <w:rsid w:val="00485192"/>
    <w:rsid w:val="004873F6"/>
    <w:rsid w:val="0048769D"/>
    <w:rsid w:val="004A0ACF"/>
    <w:rsid w:val="004A336F"/>
    <w:rsid w:val="004A6D5D"/>
    <w:rsid w:val="004B3945"/>
    <w:rsid w:val="004D0070"/>
    <w:rsid w:val="004D0CB9"/>
    <w:rsid w:val="004D1AD1"/>
    <w:rsid w:val="004D5E13"/>
    <w:rsid w:val="004F219C"/>
    <w:rsid w:val="00503886"/>
    <w:rsid w:val="00505520"/>
    <w:rsid w:val="00511910"/>
    <w:rsid w:val="005270CC"/>
    <w:rsid w:val="00531505"/>
    <w:rsid w:val="00532AEF"/>
    <w:rsid w:val="005348B6"/>
    <w:rsid w:val="00537021"/>
    <w:rsid w:val="00541B70"/>
    <w:rsid w:val="00546C8F"/>
    <w:rsid w:val="00564D87"/>
    <w:rsid w:val="005657DF"/>
    <w:rsid w:val="00567BB7"/>
    <w:rsid w:val="005811F5"/>
    <w:rsid w:val="005C29C3"/>
    <w:rsid w:val="005D663A"/>
    <w:rsid w:val="005E5B0B"/>
    <w:rsid w:val="00611AB8"/>
    <w:rsid w:val="00611D6B"/>
    <w:rsid w:val="006144BE"/>
    <w:rsid w:val="00622F76"/>
    <w:rsid w:val="00641213"/>
    <w:rsid w:val="0064396C"/>
    <w:rsid w:val="00654DA1"/>
    <w:rsid w:val="00664129"/>
    <w:rsid w:val="00667741"/>
    <w:rsid w:val="00672D96"/>
    <w:rsid w:val="00686A35"/>
    <w:rsid w:val="006A0C44"/>
    <w:rsid w:val="006A2C53"/>
    <w:rsid w:val="006A6035"/>
    <w:rsid w:val="006B033D"/>
    <w:rsid w:val="006B69DC"/>
    <w:rsid w:val="006C6AEF"/>
    <w:rsid w:val="006D0B13"/>
    <w:rsid w:val="006D3357"/>
    <w:rsid w:val="006D3A39"/>
    <w:rsid w:val="006E0DBB"/>
    <w:rsid w:val="006E1674"/>
    <w:rsid w:val="006E4100"/>
    <w:rsid w:val="006F2CB6"/>
    <w:rsid w:val="00704AA7"/>
    <w:rsid w:val="007060AE"/>
    <w:rsid w:val="00726A52"/>
    <w:rsid w:val="0074110A"/>
    <w:rsid w:val="0076347B"/>
    <w:rsid w:val="00764968"/>
    <w:rsid w:val="00766B0E"/>
    <w:rsid w:val="00774EE8"/>
    <w:rsid w:val="007826C3"/>
    <w:rsid w:val="007851DF"/>
    <w:rsid w:val="00787E0A"/>
    <w:rsid w:val="00792616"/>
    <w:rsid w:val="007A438D"/>
    <w:rsid w:val="007A5561"/>
    <w:rsid w:val="007C07C7"/>
    <w:rsid w:val="007C2F7E"/>
    <w:rsid w:val="007C623D"/>
    <w:rsid w:val="007F1EEB"/>
    <w:rsid w:val="00805367"/>
    <w:rsid w:val="00820ED7"/>
    <w:rsid w:val="00825FB9"/>
    <w:rsid w:val="00851DE1"/>
    <w:rsid w:val="00854476"/>
    <w:rsid w:val="00873F56"/>
    <w:rsid w:val="00880A2B"/>
    <w:rsid w:val="00884DC6"/>
    <w:rsid w:val="0089239F"/>
    <w:rsid w:val="008A5D86"/>
    <w:rsid w:val="008A755F"/>
    <w:rsid w:val="008B266C"/>
    <w:rsid w:val="008B6988"/>
    <w:rsid w:val="008B71CA"/>
    <w:rsid w:val="008B734E"/>
    <w:rsid w:val="008C1FEA"/>
    <w:rsid w:val="008C3FB6"/>
    <w:rsid w:val="008D2F68"/>
    <w:rsid w:val="008F48FA"/>
    <w:rsid w:val="00901AC6"/>
    <w:rsid w:val="00904AFE"/>
    <w:rsid w:val="0092130C"/>
    <w:rsid w:val="00926DE4"/>
    <w:rsid w:val="009304A3"/>
    <w:rsid w:val="00936759"/>
    <w:rsid w:val="00967705"/>
    <w:rsid w:val="009704E4"/>
    <w:rsid w:val="009726C4"/>
    <w:rsid w:val="00984A96"/>
    <w:rsid w:val="00987D1A"/>
    <w:rsid w:val="00990BD0"/>
    <w:rsid w:val="009A02F4"/>
    <w:rsid w:val="009A6821"/>
    <w:rsid w:val="009B1B21"/>
    <w:rsid w:val="009B2216"/>
    <w:rsid w:val="009C12BC"/>
    <w:rsid w:val="009C73DF"/>
    <w:rsid w:val="009D1C72"/>
    <w:rsid w:val="009E26A2"/>
    <w:rsid w:val="009E4B0F"/>
    <w:rsid w:val="009F21AD"/>
    <w:rsid w:val="009F3A4F"/>
    <w:rsid w:val="00A0205F"/>
    <w:rsid w:val="00A076F3"/>
    <w:rsid w:val="00A13069"/>
    <w:rsid w:val="00A17D08"/>
    <w:rsid w:val="00A253BF"/>
    <w:rsid w:val="00A26A3D"/>
    <w:rsid w:val="00A338C0"/>
    <w:rsid w:val="00A33B11"/>
    <w:rsid w:val="00A40708"/>
    <w:rsid w:val="00A41E14"/>
    <w:rsid w:val="00A470F7"/>
    <w:rsid w:val="00A506B0"/>
    <w:rsid w:val="00A665EE"/>
    <w:rsid w:val="00A70E4B"/>
    <w:rsid w:val="00A73557"/>
    <w:rsid w:val="00A83086"/>
    <w:rsid w:val="00A8344B"/>
    <w:rsid w:val="00A846B5"/>
    <w:rsid w:val="00A90C91"/>
    <w:rsid w:val="00A947CB"/>
    <w:rsid w:val="00A97669"/>
    <w:rsid w:val="00AB4D72"/>
    <w:rsid w:val="00AC7000"/>
    <w:rsid w:val="00AE42E2"/>
    <w:rsid w:val="00AE7A82"/>
    <w:rsid w:val="00B0642D"/>
    <w:rsid w:val="00B2041E"/>
    <w:rsid w:val="00B25438"/>
    <w:rsid w:val="00B33613"/>
    <w:rsid w:val="00B52C16"/>
    <w:rsid w:val="00B52F30"/>
    <w:rsid w:val="00B732CE"/>
    <w:rsid w:val="00B8385F"/>
    <w:rsid w:val="00B86B4E"/>
    <w:rsid w:val="00B91AF8"/>
    <w:rsid w:val="00BC2B43"/>
    <w:rsid w:val="00BC7694"/>
    <w:rsid w:val="00BD0048"/>
    <w:rsid w:val="00BD454C"/>
    <w:rsid w:val="00BD55CF"/>
    <w:rsid w:val="00BE1ED7"/>
    <w:rsid w:val="00BE46E8"/>
    <w:rsid w:val="00BF26CB"/>
    <w:rsid w:val="00BF2FE5"/>
    <w:rsid w:val="00BF7271"/>
    <w:rsid w:val="00C1440B"/>
    <w:rsid w:val="00C16322"/>
    <w:rsid w:val="00C25A94"/>
    <w:rsid w:val="00C26191"/>
    <w:rsid w:val="00C27E39"/>
    <w:rsid w:val="00C3258D"/>
    <w:rsid w:val="00C44D3C"/>
    <w:rsid w:val="00C46F31"/>
    <w:rsid w:val="00C551DB"/>
    <w:rsid w:val="00C63679"/>
    <w:rsid w:val="00C63B37"/>
    <w:rsid w:val="00C77D8D"/>
    <w:rsid w:val="00C80EFE"/>
    <w:rsid w:val="00C847C6"/>
    <w:rsid w:val="00C911F5"/>
    <w:rsid w:val="00C94352"/>
    <w:rsid w:val="00C95450"/>
    <w:rsid w:val="00CA235C"/>
    <w:rsid w:val="00CA4745"/>
    <w:rsid w:val="00CB3666"/>
    <w:rsid w:val="00CC2C01"/>
    <w:rsid w:val="00CD2539"/>
    <w:rsid w:val="00CE1A60"/>
    <w:rsid w:val="00CF4E11"/>
    <w:rsid w:val="00D020F6"/>
    <w:rsid w:val="00D10C1F"/>
    <w:rsid w:val="00D114C8"/>
    <w:rsid w:val="00D11F18"/>
    <w:rsid w:val="00D33255"/>
    <w:rsid w:val="00D360B7"/>
    <w:rsid w:val="00D415E8"/>
    <w:rsid w:val="00D448FF"/>
    <w:rsid w:val="00D508A5"/>
    <w:rsid w:val="00D559E8"/>
    <w:rsid w:val="00D645DE"/>
    <w:rsid w:val="00D72BA6"/>
    <w:rsid w:val="00D75E34"/>
    <w:rsid w:val="00D82FCB"/>
    <w:rsid w:val="00D90C19"/>
    <w:rsid w:val="00DB60A4"/>
    <w:rsid w:val="00DB7545"/>
    <w:rsid w:val="00DD0AAC"/>
    <w:rsid w:val="00DD74EE"/>
    <w:rsid w:val="00DE526D"/>
    <w:rsid w:val="00DF011C"/>
    <w:rsid w:val="00DF20BC"/>
    <w:rsid w:val="00DF4E78"/>
    <w:rsid w:val="00DF55F4"/>
    <w:rsid w:val="00E07F2A"/>
    <w:rsid w:val="00E147D0"/>
    <w:rsid w:val="00E21ED8"/>
    <w:rsid w:val="00E22A95"/>
    <w:rsid w:val="00E2512E"/>
    <w:rsid w:val="00E45C8B"/>
    <w:rsid w:val="00E55308"/>
    <w:rsid w:val="00E61884"/>
    <w:rsid w:val="00E736E1"/>
    <w:rsid w:val="00E7741E"/>
    <w:rsid w:val="00E8627A"/>
    <w:rsid w:val="00E95DF8"/>
    <w:rsid w:val="00EA5367"/>
    <w:rsid w:val="00EB064A"/>
    <w:rsid w:val="00EB08B4"/>
    <w:rsid w:val="00EB1E10"/>
    <w:rsid w:val="00EB7236"/>
    <w:rsid w:val="00EC2ED7"/>
    <w:rsid w:val="00ED7862"/>
    <w:rsid w:val="00EE7550"/>
    <w:rsid w:val="00EF06EE"/>
    <w:rsid w:val="00EF4A6E"/>
    <w:rsid w:val="00EF6C5D"/>
    <w:rsid w:val="00F008A2"/>
    <w:rsid w:val="00F04C23"/>
    <w:rsid w:val="00F061FE"/>
    <w:rsid w:val="00F176AD"/>
    <w:rsid w:val="00F2088D"/>
    <w:rsid w:val="00F21736"/>
    <w:rsid w:val="00F25C66"/>
    <w:rsid w:val="00F27299"/>
    <w:rsid w:val="00F40A43"/>
    <w:rsid w:val="00F42370"/>
    <w:rsid w:val="00F502F2"/>
    <w:rsid w:val="00F612FB"/>
    <w:rsid w:val="00F7601B"/>
    <w:rsid w:val="00F76B61"/>
    <w:rsid w:val="00F77576"/>
    <w:rsid w:val="00FA0DD9"/>
    <w:rsid w:val="00FB7A58"/>
    <w:rsid w:val="00FC24B2"/>
    <w:rsid w:val="00FC6CB7"/>
    <w:rsid w:val="00FD139B"/>
    <w:rsid w:val="00FD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86FA0"/>
  <w15:chartTrackingRefBased/>
  <w15:docId w15:val="{C7866725-01C1-4CF0-A635-E9CA31E1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357"/>
  </w:style>
  <w:style w:type="paragraph" w:styleId="Heading1">
    <w:name w:val="heading 1"/>
    <w:basedOn w:val="Normal"/>
    <w:next w:val="Normal"/>
    <w:link w:val="Heading1Char"/>
    <w:uiPriority w:val="9"/>
    <w:qFormat/>
    <w:rsid w:val="006D335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B1E1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ascii="Calibri Light" w:hAnsi="Calibri Light"/>
      <w:caps/>
      <w:spacing w:val="15"/>
    </w:rPr>
  </w:style>
  <w:style w:type="paragraph" w:styleId="Heading3">
    <w:name w:val="heading 3"/>
    <w:basedOn w:val="Normal"/>
    <w:next w:val="Normal"/>
    <w:link w:val="Heading3Char"/>
    <w:uiPriority w:val="9"/>
    <w:unhideWhenUsed/>
    <w:qFormat/>
    <w:rsid w:val="006D335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6D335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6D335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6D335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6D335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6D335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D335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uiPriority w:val="99"/>
    <w:unhideWhenUsed/>
    <w:rsid w:val="00EB064A"/>
    <w:pPr>
      <w:tabs>
        <w:tab w:val="center" w:pos="4680"/>
        <w:tab w:val="right" w:pos="9360"/>
      </w:tabs>
    </w:pPr>
  </w:style>
  <w:style w:type="character" w:customStyle="1" w:styleId="HeaderChar">
    <w:name w:val="Header Char"/>
    <w:link w:val="Header"/>
    <w:uiPriority w:val="99"/>
    <w:rsid w:val="00EB064A"/>
    <w:rPr>
      <w:sz w:val="24"/>
      <w:szCs w:val="24"/>
    </w:rPr>
  </w:style>
  <w:style w:type="paragraph" w:styleId="Footer">
    <w:name w:val="footer"/>
    <w:basedOn w:val="Normal"/>
    <w:link w:val="FooterChar"/>
    <w:uiPriority w:val="99"/>
    <w:unhideWhenUsed/>
    <w:rsid w:val="00EB064A"/>
    <w:pPr>
      <w:tabs>
        <w:tab w:val="center" w:pos="4680"/>
        <w:tab w:val="right" w:pos="9360"/>
      </w:tabs>
    </w:pPr>
  </w:style>
  <w:style w:type="character" w:customStyle="1" w:styleId="FooterChar">
    <w:name w:val="Footer Char"/>
    <w:link w:val="Footer"/>
    <w:uiPriority w:val="99"/>
    <w:rsid w:val="00EB064A"/>
    <w:rPr>
      <w:sz w:val="24"/>
      <w:szCs w:val="24"/>
    </w:rPr>
  </w:style>
  <w:style w:type="paragraph" w:styleId="BalloonText">
    <w:name w:val="Balloon Text"/>
    <w:basedOn w:val="Normal"/>
    <w:link w:val="BalloonTextChar"/>
    <w:uiPriority w:val="99"/>
    <w:semiHidden/>
    <w:unhideWhenUsed/>
    <w:rsid w:val="00D559E8"/>
    <w:rPr>
      <w:rFonts w:ascii="Segoe UI" w:hAnsi="Segoe UI" w:cs="Segoe UI"/>
      <w:sz w:val="18"/>
      <w:szCs w:val="18"/>
    </w:rPr>
  </w:style>
  <w:style w:type="character" w:customStyle="1" w:styleId="BalloonTextChar">
    <w:name w:val="Balloon Text Char"/>
    <w:link w:val="BalloonText"/>
    <w:uiPriority w:val="99"/>
    <w:semiHidden/>
    <w:rsid w:val="00D559E8"/>
    <w:rPr>
      <w:rFonts w:ascii="Segoe UI" w:hAnsi="Segoe UI" w:cs="Segoe UI"/>
      <w:sz w:val="18"/>
      <w:szCs w:val="18"/>
    </w:rPr>
  </w:style>
  <w:style w:type="character" w:styleId="CommentReference">
    <w:name w:val="annotation reference"/>
    <w:basedOn w:val="DefaultParagraphFont"/>
    <w:uiPriority w:val="99"/>
    <w:semiHidden/>
    <w:unhideWhenUsed/>
    <w:rsid w:val="00A665EE"/>
    <w:rPr>
      <w:sz w:val="16"/>
      <w:szCs w:val="16"/>
    </w:rPr>
  </w:style>
  <w:style w:type="paragraph" w:styleId="CommentText">
    <w:name w:val="annotation text"/>
    <w:basedOn w:val="Normal"/>
    <w:link w:val="CommentTextChar"/>
    <w:uiPriority w:val="99"/>
    <w:semiHidden/>
    <w:unhideWhenUsed/>
    <w:rsid w:val="00A665EE"/>
  </w:style>
  <w:style w:type="character" w:customStyle="1" w:styleId="CommentTextChar">
    <w:name w:val="Comment Text Char"/>
    <w:basedOn w:val="DefaultParagraphFont"/>
    <w:link w:val="CommentText"/>
    <w:uiPriority w:val="99"/>
    <w:semiHidden/>
    <w:rsid w:val="00A665EE"/>
  </w:style>
  <w:style w:type="paragraph" w:styleId="CommentSubject">
    <w:name w:val="annotation subject"/>
    <w:basedOn w:val="CommentText"/>
    <w:next w:val="CommentText"/>
    <w:link w:val="CommentSubjectChar"/>
    <w:uiPriority w:val="99"/>
    <w:semiHidden/>
    <w:unhideWhenUsed/>
    <w:rsid w:val="00A665EE"/>
    <w:rPr>
      <w:b/>
      <w:bCs/>
    </w:rPr>
  </w:style>
  <w:style w:type="character" w:customStyle="1" w:styleId="CommentSubjectChar">
    <w:name w:val="Comment Subject Char"/>
    <w:basedOn w:val="CommentTextChar"/>
    <w:link w:val="CommentSubject"/>
    <w:uiPriority w:val="99"/>
    <w:semiHidden/>
    <w:rsid w:val="00A665EE"/>
    <w:rPr>
      <w:b/>
      <w:bCs/>
    </w:rPr>
  </w:style>
  <w:style w:type="paragraph" w:styleId="ListParagraph">
    <w:name w:val="List Paragraph"/>
    <w:basedOn w:val="Normal"/>
    <w:uiPriority w:val="34"/>
    <w:qFormat/>
    <w:rsid w:val="00043A2B"/>
    <w:pPr>
      <w:ind w:left="720"/>
      <w:contextualSpacing/>
    </w:pPr>
  </w:style>
  <w:style w:type="character" w:customStyle="1" w:styleId="Heading1Char">
    <w:name w:val="Heading 1 Char"/>
    <w:basedOn w:val="DefaultParagraphFont"/>
    <w:link w:val="Heading1"/>
    <w:uiPriority w:val="9"/>
    <w:rsid w:val="006D335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EB1E10"/>
    <w:rPr>
      <w:rFonts w:ascii="Calibri Light" w:hAnsi="Calibri Light"/>
      <w:caps/>
      <w:spacing w:val="15"/>
      <w:shd w:val="clear" w:color="auto" w:fill="DEEAF6" w:themeFill="accent1" w:themeFillTint="33"/>
    </w:rPr>
  </w:style>
  <w:style w:type="character" w:customStyle="1" w:styleId="Heading3Char">
    <w:name w:val="Heading 3 Char"/>
    <w:basedOn w:val="DefaultParagraphFont"/>
    <w:link w:val="Heading3"/>
    <w:uiPriority w:val="9"/>
    <w:rsid w:val="006D3357"/>
    <w:rPr>
      <w:caps/>
      <w:color w:val="1F4D78" w:themeColor="accent1" w:themeShade="7F"/>
      <w:spacing w:val="15"/>
    </w:rPr>
  </w:style>
  <w:style w:type="character" w:customStyle="1" w:styleId="Heading4Char">
    <w:name w:val="Heading 4 Char"/>
    <w:basedOn w:val="DefaultParagraphFont"/>
    <w:link w:val="Heading4"/>
    <w:uiPriority w:val="9"/>
    <w:semiHidden/>
    <w:rsid w:val="006D3357"/>
    <w:rPr>
      <w:caps/>
      <w:color w:val="2E74B5" w:themeColor="accent1" w:themeShade="BF"/>
      <w:spacing w:val="10"/>
    </w:rPr>
  </w:style>
  <w:style w:type="character" w:customStyle="1" w:styleId="Heading5Char">
    <w:name w:val="Heading 5 Char"/>
    <w:basedOn w:val="DefaultParagraphFont"/>
    <w:link w:val="Heading5"/>
    <w:uiPriority w:val="9"/>
    <w:semiHidden/>
    <w:rsid w:val="006D3357"/>
    <w:rPr>
      <w:caps/>
      <w:color w:val="2E74B5" w:themeColor="accent1" w:themeShade="BF"/>
      <w:spacing w:val="10"/>
    </w:rPr>
  </w:style>
  <w:style w:type="character" w:customStyle="1" w:styleId="Heading6Char">
    <w:name w:val="Heading 6 Char"/>
    <w:basedOn w:val="DefaultParagraphFont"/>
    <w:link w:val="Heading6"/>
    <w:uiPriority w:val="9"/>
    <w:semiHidden/>
    <w:rsid w:val="006D3357"/>
    <w:rPr>
      <w:caps/>
      <w:color w:val="2E74B5" w:themeColor="accent1" w:themeShade="BF"/>
      <w:spacing w:val="10"/>
    </w:rPr>
  </w:style>
  <w:style w:type="character" w:customStyle="1" w:styleId="Heading7Char">
    <w:name w:val="Heading 7 Char"/>
    <w:basedOn w:val="DefaultParagraphFont"/>
    <w:link w:val="Heading7"/>
    <w:uiPriority w:val="9"/>
    <w:semiHidden/>
    <w:rsid w:val="006D3357"/>
    <w:rPr>
      <w:caps/>
      <w:color w:val="2E74B5" w:themeColor="accent1" w:themeShade="BF"/>
      <w:spacing w:val="10"/>
    </w:rPr>
  </w:style>
  <w:style w:type="character" w:customStyle="1" w:styleId="Heading8Char">
    <w:name w:val="Heading 8 Char"/>
    <w:basedOn w:val="DefaultParagraphFont"/>
    <w:link w:val="Heading8"/>
    <w:uiPriority w:val="9"/>
    <w:semiHidden/>
    <w:rsid w:val="006D3357"/>
    <w:rPr>
      <w:caps/>
      <w:spacing w:val="10"/>
      <w:sz w:val="18"/>
      <w:szCs w:val="18"/>
    </w:rPr>
  </w:style>
  <w:style w:type="character" w:customStyle="1" w:styleId="Heading9Char">
    <w:name w:val="Heading 9 Char"/>
    <w:basedOn w:val="DefaultParagraphFont"/>
    <w:link w:val="Heading9"/>
    <w:uiPriority w:val="9"/>
    <w:semiHidden/>
    <w:rsid w:val="006D3357"/>
    <w:rPr>
      <w:i/>
      <w:iCs/>
      <w:caps/>
      <w:spacing w:val="10"/>
      <w:sz w:val="18"/>
      <w:szCs w:val="18"/>
    </w:rPr>
  </w:style>
  <w:style w:type="paragraph" w:styleId="Caption">
    <w:name w:val="caption"/>
    <w:basedOn w:val="Normal"/>
    <w:next w:val="Normal"/>
    <w:uiPriority w:val="35"/>
    <w:semiHidden/>
    <w:unhideWhenUsed/>
    <w:qFormat/>
    <w:rsid w:val="006D3357"/>
    <w:rPr>
      <w:b/>
      <w:bCs/>
      <w:color w:val="2E74B5" w:themeColor="accent1" w:themeShade="BF"/>
      <w:sz w:val="16"/>
      <w:szCs w:val="16"/>
    </w:rPr>
  </w:style>
  <w:style w:type="paragraph" w:styleId="Title">
    <w:name w:val="Title"/>
    <w:basedOn w:val="Normal"/>
    <w:next w:val="Normal"/>
    <w:link w:val="TitleChar"/>
    <w:uiPriority w:val="10"/>
    <w:qFormat/>
    <w:rsid w:val="006D335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6D335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6D335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D3357"/>
    <w:rPr>
      <w:caps/>
      <w:color w:val="595959" w:themeColor="text1" w:themeTint="A6"/>
      <w:spacing w:val="10"/>
      <w:sz w:val="21"/>
      <w:szCs w:val="21"/>
    </w:rPr>
  </w:style>
  <w:style w:type="character" w:styleId="Strong">
    <w:name w:val="Strong"/>
    <w:uiPriority w:val="22"/>
    <w:qFormat/>
    <w:rsid w:val="006D3357"/>
    <w:rPr>
      <w:b/>
      <w:bCs/>
    </w:rPr>
  </w:style>
  <w:style w:type="character" w:styleId="Emphasis">
    <w:name w:val="Emphasis"/>
    <w:uiPriority w:val="20"/>
    <w:qFormat/>
    <w:rsid w:val="006D3357"/>
    <w:rPr>
      <w:caps/>
      <w:color w:val="1F4D78" w:themeColor="accent1" w:themeShade="7F"/>
      <w:spacing w:val="5"/>
    </w:rPr>
  </w:style>
  <w:style w:type="paragraph" w:styleId="NoSpacing">
    <w:name w:val="No Spacing"/>
    <w:uiPriority w:val="1"/>
    <w:qFormat/>
    <w:rsid w:val="006D3357"/>
    <w:pPr>
      <w:spacing w:after="0" w:line="240" w:lineRule="auto"/>
    </w:pPr>
  </w:style>
  <w:style w:type="paragraph" w:styleId="Quote">
    <w:name w:val="Quote"/>
    <w:basedOn w:val="Normal"/>
    <w:next w:val="Normal"/>
    <w:link w:val="QuoteChar"/>
    <w:uiPriority w:val="29"/>
    <w:qFormat/>
    <w:rsid w:val="006D3357"/>
    <w:rPr>
      <w:i/>
      <w:iCs/>
      <w:sz w:val="24"/>
      <w:szCs w:val="24"/>
    </w:rPr>
  </w:style>
  <w:style w:type="character" w:customStyle="1" w:styleId="QuoteChar">
    <w:name w:val="Quote Char"/>
    <w:basedOn w:val="DefaultParagraphFont"/>
    <w:link w:val="Quote"/>
    <w:uiPriority w:val="29"/>
    <w:rsid w:val="006D3357"/>
    <w:rPr>
      <w:i/>
      <w:iCs/>
      <w:sz w:val="24"/>
      <w:szCs w:val="24"/>
    </w:rPr>
  </w:style>
  <w:style w:type="paragraph" w:styleId="IntenseQuote">
    <w:name w:val="Intense Quote"/>
    <w:basedOn w:val="Normal"/>
    <w:next w:val="Normal"/>
    <w:link w:val="IntenseQuoteChar"/>
    <w:uiPriority w:val="30"/>
    <w:qFormat/>
    <w:rsid w:val="006D335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D3357"/>
    <w:rPr>
      <w:color w:val="5B9BD5" w:themeColor="accent1"/>
      <w:sz w:val="24"/>
      <w:szCs w:val="24"/>
    </w:rPr>
  </w:style>
  <w:style w:type="character" w:styleId="SubtleEmphasis">
    <w:name w:val="Subtle Emphasis"/>
    <w:uiPriority w:val="19"/>
    <w:qFormat/>
    <w:rsid w:val="006D3357"/>
    <w:rPr>
      <w:i/>
      <w:iCs/>
      <w:color w:val="1F4D78" w:themeColor="accent1" w:themeShade="7F"/>
    </w:rPr>
  </w:style>
  <w:style w:type="character" w:styleId="IntenseEmphasis">
    <w:name w:val="Intense Emphasis"/>
    <w:uiPriority w:val="21"/>
    <w:qFormat/>
    <w:rsid w:val="006D3357"/>
    <w:rPr>
      <w:b/>
      <w:bCs/>
      <w:caps/>
      <w:color w:val="1F4D78" w:themeColor="accent1" w:themeShade="7F"/>
      <w:spacing w:val="10"/>
    </w:rPr>
  </w:style>
  <w:style w:type="character" w:styleId="SubtleReference">
    <w:name w:val="Subtle Reference"/>
    <w:uiPriority w:val="31"/>
    <w:qFormat/>
    <w:rsid w:val="006D3357"/>
    <w:rPr>
      <w:b/>
      <w:bCs/>
      <w:color w:val="5B9BD5" w:themeColor="accent1"/>
    </w:rPr>
  </w:style>
  <w:style w:type="character" w:styleId="IntenseReference">
    <w:name w:val="Intense Reference"/>
    <w:uiPriority w:val="32"/>
    <w:qFormat/>
    <w:rsid w:val="006D3357"/>
    <w:rPr>
      <w:b/>
      <w:bCs/>
      <w:i/>
      <w:iCs/>
      <w:caps/>
      <w:color w:val="5B9BD5" w:themeColor="accent1"/>
    </w:rPr>
  </w:style>
  <w:style w:type="character" w:styleId="BookTitle">
    <w:name w:val="Book Title"/>
    <w:uiPriority w:val="33"/>
    <w:qFormat/>
    <w:rsid w:val="006D3357"/>
    <w:rPr>
      <w:b/>
      <w:bCs/>
      <w:i/>
      <w:iCs/>
      <w:spacing w:val="0"/>
    </w:rPr>
  </w:style>
  <w:style w:type="paragraph" w:styleId="TOCHeading">
    <w:name w:val="TOC Heading"/>
    <w:basedOn w:val="Heading1"/>
    <w:next w:val="Normal"/>
    <w:uiPriority w:val="39"/>
    <w:semiHidden/>
    <w:unhideWhenUsed/>
    <w:qFormat/>
    <w:rsid w:val="006D3357"/>
    <w:pPr>
      <w:outlineLvl w:val="9"/>
    </w:pPr>
  </w:style>
  <w:style w:type="character" w:styleId="PlaceholderText">
    <w:name w:val="Placeholder Text"/>
    <w:basedOn w:val="DefaultParagraphFont"/>
    <w:uiPriority w:val="99"/>
    <w:semiHidden/>
    <w:rsid w:val="00CE1A60"/>
    <w:rPr>
      <w:color w:val="808080"/>
    </w:rPr>
  </w:style>
  <w:style w:type="character" w:styleId="Hyperlink">
    <w:name w:val="Hyperlink"/>
    <w:basedOn w:val="DefaultParagraphFont"/>
    <w:uiPriority w:val="99"/>
    <w:unhideWhenUsed/>
    <w:rsid w:val="002F2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631721">
      <w:bodyDiv w:val="1"/>
      <w:marLeft w:val="0"/>
      <w:marRight w:val="0"/>
      <w:marTop w:val="0"/>
      <w:marBottom w:val="0"/>
      <w:divBdr>
        <w:top w:val="none" w:sz="0" w:space="0" w:color="auto"/>
        <w:left w:val="none" w:sz="0" w:space="0" w:color="auto"/>
        <w:bottom w:val="none" w:sz="0" w:space="0" w:color="auto"/>
        <w:right w:val="none" w:sz="0" w:space="0" w:color="auto"/>
      </w:divBdr>
    </w:div>
    <w:div w:id="1926913567">
      <w:bodyDiv w:val="1"/>
      <w:marLeft w:val="0"/>
      <w:marRight w:val="0"/>
      <w:marTop w:val="0"/>
      <w:marBottom w:val="0"/>
      <w:divBdr>
        <w:top w:val="none" w:sz="0" w:space="0" w:color="auto"/>
        <w:left w:val="none" w:sz="0" w:space="0" w:color="auto"/>
        <w:bottom w:val="none" w:sz="0" w:space="0" w:color="auto"/>
        <w:right w:val="none" w:sz="0" w:space="0" w:color="auto"/>
      </w:divBdr>
    </w:div>
    <w:div w:id="20244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75A83B9-EE72-438A-8CF0-9C63E81A7ACA}"/>
      </w:docPartPr>
      <w:docPartBody>
        <w:p w:rsidR="0066394B" w:rsidRDefault="00C4102D">
          <w:r w:rsidRPr="00CF51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2D"/>
    <w:rsid w:val="00041B8D"/>
    <w:rsid w:val="00101DAC"/>
    <w:rsid w:val="00217FEB"/>
    <w:rsid w:val="00222829"/>
    <w:rsid w:val="00231EFB"/>
    <w:rsid w:val="002B7806"/>
    <w:rsid w:val="00395C82"/>
    <w:rsid w:val="003C49B4"/>
    <w:rsid w:val="003F22C5"/>
    <w:rsid w:val="0040262B"/>
    <w:rsid w:val="0066394B"/>
    <w:rsid w:val="00922763"/>
    <w:rsid w:val="00A57C1F"/>
    <w:rsid w:val="00A95B5F"/>
    <w:rsid w:val="00AC39AE"/>
    <w:rsid w:val="00B339F8"/>
    <w:rsid w:val="00B73228"/>
    <w:rsid w:val="00BB0EB1"/>
    <w:rsid w:val="00C4102D"/>
    <w:rsid w:val="00C6042E"/>
    <w:rsid w:val="00CB1880"/>
    <w:rsid w:val="00CC12AC"/>
    <w:rsid w:val="00D91D92"/>
    <w:rsid w:val="00F2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0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TENNESSEE TECHNOLOGICAL UNIVERSITY</vt:lpstr>
    </vt:vector>
  </TitlesOfParts>
  <Company>Tennessee Tech University</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TECHNOLOGICAL UNIVERSITY</dc:title>
  <dc:subject/>
  <dc:creator>Etter</dc:creator>
  <cp:keywords/>
  <cp:lastModifiedBy>Hill, Amy</cp:lastModifiedBy>
  <cp:revision>3</cp:revision>
  <cp:lastPrinted>2017-08-21T15:26:00Z</cp:lastPrinted>
  <dcterms:created xsi:type="dcterms:W3CDTF">2021-10-28T13:21:00Z</dcterms:created>
  <dcterms:modified xsi:type="dcterms:W3CDTF">2021-10-28T13:50:00Z</dcterms:modified>
</cp:coreProperties>
</file>